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DA" w:rsidRDefault="001733DA" w:rsidP="001733DA">
      <w:pPr>
        <w:rPr>
          <w:b/>
          <w:sz w:val="28"/>
        </w:rPr>
      </w:pPr>
      <w:r>
        <w:rPr>
          <w:b/>
          <w:sz w:val="28"/>
        </w:rPr>
        <w:t>PURPOSE:</w:t>
      </w:r>
    </w:p>
    <w:p w:rsidR="001733DA" w:rsidRDefault="001733DA" w:rsidP="001733DA"/>
    <w:p w:rsidR="001733DA" w:rsidRDefault="001733DA" w:rsidP="001733DA">
      <w:r>
        <w:t>To provide for an order of succession for the Vice President for Technology &amp; Communication, and other T&amp;C leadership positions, in his absence.</w:t>
      </w:r>
    </w:p>
    <w:p w:rsidR="001733DA" w:rsidRDefault="001733DA" w:rsidP="001733DA"/>
    <w:p w:rsidR="001733DA" w:rsidRDefault="001733DA" w:rsidP="001733DA">
      <w:pPr>
        <w:rPr>
          <w:b/>
          <w:sz w:val="28"/>
        </w:rPr>
      </w:pPr>
      <w:r>
        <w:rPr>
          <w:b/>
          <w:sz w:val="28"/>
        </w:rPr>
        <w:t>BACKGROUND:</w:t>
      </w:r>
    </w:p>
    <w:p w:rsidR="001733DA" w:rsidRDefault="001733DA" w:rsidP="001733DA">
      <w:pPr>
        <w:rPr>
          <w:b/>
          <w:sz w:val="28"/>
        </w:rPr>
      </w:pPr>
    </w:p>
    <w:p w:rsidR="001733DA" w:rsidRDefault="001733DA" w:rsidP="001733DA">
      <w:r>
        <w:t xml:space="preserve">Many T&amp;C business processes require the approval or other input of the Vice President for Technology &amp; Communication (VP T&amp;C). In the absence of the VP T&amp;C, this Business Practice describes the order of succession for the VP T&amp;C. </w:t>
      </w:r>
      <w:r w:rsidR="00A7316E">
        <w:t xml:space="preserve"> </w:t>
      </w:r>
      <w:r>
        <w:t>Additionally, business continuity requires that a clear leader be designated for each T&amp;C group in the absence of their normal leadership.</w:t>
      </w:r>
    </w:p>
    <w:p w:rsidR="001733DA" w:rsidRDefault="001733DA" w:rsidP="001733DA"/>
    <w:p w:rsidR="001733DA" w:rsidRDefault="001733DA" w:rsidP="001733DA">
      <w:pPr>
        <w:rPr>
          <w:b/>
          <w:sz w:val="28"/>
        </w:rPr>
      </w:pPr>
      <w:r>
        <w:rPr>
          <w:b/>
          <w:sz w:val="28"/>
        </w:rPr>
        <w:t>BUSINESS PRACTICE:</w:t>
      </w:r>
    </w:p>
    <w:p w:rsidR="001733DA" w:rsidRDefault="001733DA" w:rsidP="001733DA">
      <w:pPr>
        <w:rPr>
          <w:b/>
          <w:sz w:val="28"/>
        </w:rPr>
      </w:pPr>
    </w:p>
    <w:p w:rsidR="001733DA" w:rsidRDefault="001733DA" w:rsidP="001733DA">
      <w:pPr>
        <w:rPr>
          <w:b/>
          <w:i/>
        </w:rPr>
      </w:pPr>
      <w:r>
        <w:rPr>
          <w:b/>
          <w:i/>
        </w:rPr>
        <w:t>Accountability:</w:t>
      </w:r>
    </w:p>
    <w:p w:rsidR="001733DA" w:rsidRDefault="001733DA" w:rsidP="001733DA">
      <w:r>
        <w:t>Vice President for Technology &amp; Communication</w:t>
      </w:r>
    </w:p>
    <w:p w:rsidR="001733DA" w:rsidRDefault="001733DA" w:rsidP="001733DA"/>
    <w:p w:rsidR="001733DA" w:rsidRDefault="001733DA" w:rsidP="001733DA">
      <w:pPr>
        <w:rPr>
          <w:b/>
          <w:i/>
        </w:rPr>
      </w:pPr>
      <w:r>
        <w:rPr>
          <w:b/>
          <w:i/>
        </w:rPr>
        <w:t>Applicability:</w:t>
      </w:r>
    </w:p>
    <w:p w:rsidR="001733DA" w:rsidRPr="006D27D6" w:rsidRDefault="001733DA" w:rsidP="001733DA">
      <w:r>
        <w:t>All staff in the Division of Technology &amp; Communication</w:t>
      </w:r>
    </w:p>
    <w:p w:rsidR="001733DA" w:rsidRDefault="001733DA" w:rsidP="001733DA">
      <w:pPr>
        <w:rPr>
          <w:b/>
          <w:i/>
        </w:rPr>
      </w:pPr>
    </w:p>
    <w:p w:rsidR="001733DA" w:rsidRDefault="001733DA" w:rsidP="001733DA">
      <w:pPr>
        <w:rPr>
          <w:b/>
          <w:i/>
        </w:rPr>
      </w:pPr>
      <w:r>
        <w:rPr>
          <w:b/>
          <w:i/>
        </w:rPr>
        <w:t>Text:</w:t>
      </w:r>
    </w:p>
    <w:p w:rsidR="001733DA" w:rsidRDefault="001733DA" w:rsidP="001733DA">
      <w:pPr>
        <w:rPr>
          <w:b/>
          <w:i/>
        </w:rPr>
      </w:pPr>
    </w:p>
    <w:p w:rsidR="001733DA" w:rsidRDefault="001733DA" w:rsidP="001733DA">
      <w:r>
        <w:rPr>
          <w:b/>
        </w:rPr>
        <w:t>VP T&amp;C Order of Succession</w:t>
      </w:r>
    </w:p>
    <w:p w:rsidR="001733DA" w:rsidRDefault="001733DA" w:rsidP="001733DA">
      <w:r>
        <w:t>When the VP T&amp;C anticipates being sick, vacationing or otherwise incapacitated or unavailable for the performance of his or her duties, the VP T&amp;C shall designate another member of the T&amp;C Leadership as the administrator-in-charge. The VP T&amp;C shall transmit a designation message to the division leadership</w:t>
      </w:r>
      <w:r w:rsidR="00A7316E">
        <w:t xml:space="preserve"> </w:t>
      </w:r>
      <w:r>
        <w:t>and the president’s office via e-mail.</w:t>
      </w:r>
    </w:p>
    <w:p w:rsidR="001733DA" w:rsidRDefault="001733DA" w:rsidP="001733DA"/>
    <w:p w:rsidR="001733DA" w:rsidRDefault="001733DA" w:rsidP="001733DA">
      <w:r>
        <w:t>When the VP T&amp;C is temporarily incapacitated or otherwise unavailable for the performance of his or her duties due to unforeseen circumstances, the duties of administrator-in-charge shall devolve upon the members of T&amp;C Leadership in the following order: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t>Director of Application Services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t>Director of Communication &amp; Marketing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t>Director of IT Strategy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lastRenderedPageBreak/>
        <w:t>Director of Academic Technology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t>Manager of Infrastructure Services.</w:t>
      </w:r>
    </w:p>
    <w:p w:rsidR="001733DA" w:rsidRDefault="001733DA" w:rsidP="001733DA">
      <w:pPr>
        <w:pStyle w:val="ListParagraph"/>
        <w:numPr>
          <w:ilvl w:val="0"/>
          <w:numId w:val="13"/>
        </w:numPr>
      </w:pPr>
      <w:r>
        <w:t>Manager of User Services</w:t>
      </w:r>
    </w:p>
    <w:p w:rsidR="001733DA" w:rsidRDefault="001733DA" w:rsidP="001733DA">
      <w:r>
        <w:br/>
        <w:t>The administrator-in-charge will transmit an assumption-of-duties message to the division leadership and the president’s office via e-mail.</w:t>
      </w:r>
    </w:p>
    <w:p w:rsidR="001733DA" w:rsidRDefault="001733DA" w:rsidP="001733DA"/>
    <w:p w:rsidR="001733DA" w:rsidRDefault="001733DA" w:rsidP="001733DA">
      <w:r>
        <w:t>The designated administrator-in-charge will perform the management functions of the VP T&amp;C until the VP T&amp;C returns to duty.</w:t>
      </w:r>
    </w:p>
    <w:p w:rsidR="001733DA" w:rsidRDefault="001733DA" w:rsidP="001733DA"/>
    <w:p w:rsidR="001733DA" w:rsidRDefault="001733DA" w:rsidP="001733DA">
      <w:r>
        <w:rPr>
          <w:b/>
        </w:rPr>
        <w:t>T&amp;C Leadership Order of Succession</w:t>
      </w:r>
    </w:p>
    <w:p w:rsidR="001733DA" w:rsidRPr="006D27D6" w:rsidRDefault="001733DA" w:rsidP="001733DA">
      <w:r>
        <w:t>Each T&amp;C manager who anticipates an absence from work longer than three working days must designate a member of their group to act as interim coordinator of that group. The manager shall transmit a designation message to the division leadership via e-mail. This team member shall perform any organizational functions required by T&amp;C Business Practices and coordinate the day-to-day operations of that manager’s group.</w:t>
      </w:r>
    </w:p>
    <w:p w:rsidR="00740D6E" w:rsidRDefault="00740D6E" w:rsidP="00AE3962"/>
    <w:p w:rsidR="001733DA" w:rsidRDefault="001733DA" w:rsidP="00AE3962">
      <w:pPr>
        <w:rPr>
          <w:b/>
          <w:i/>
        </w:rPr>
      </w:pPr>
    </w:p>
    <w:p w:rsidR="00AE3962" w:rsidRPr="00740D6E" w:rsidRDefault="00AE3962" w:rsidP="00AE3962">
      <w:pPr>
        <w:rPr>
          <w:b/>
          <w:i/>
        </w:rPr>
      </w:pPr>
      <w:r w:rsidRPr="00740D6E">
        <w:rPr>
          <w:b/>
          <w:i/>
        </w:rPr>
        <w:t>Revision History:</w:t>
      </w:r>
    </w:p>
    <w:p w:rsidR="00AE3962" w:rsidRDefault="00AE3962" w:rsidP="00AE3962"/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530"/>
        <w:gridCol w:w="1260"/>
        <w:gridCol w:w="1710"/>
        <w:gridCol w:w="1260"/>
        <w:gridCol w:w="1350"/>
        <w:gridCol w:w="2340"/>
      </w:tblGrid>
      <w:tr w:rsidR="003A53F8" w:rsidTr="00740D6E">
        <w:tc>
          <w:tcPr>
            <w:tcW w:w="1530" w:type="dxa"/>
          </w:tcPr>
          <w:p w:rsidR="00AE3962" w:rsidRDefault="003A53F8" w:rsidP="003A53F8">
            <w:pPr>
              <w:pStyle w:val="BodyText"/>
              <w:tabs>
                <w:tab w:val="left" w:pos="1620"/>
                <w:tab w:val="left" w:pos="5760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BP</w:t>
            </w:r>
            <w:r w:rsidR="00AE3962">
              <w:rPr>
                <w:b/>
                <w:bCs/>
                <w:color w:val="000000"/>
              </w:rPr>
              <w:t xml:space="preserve"> </w:t>
            </w:r>
            <w:proofErr w:type="spellStart"/>
            <w:r w:rsidR="00AE3962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b</w:t>
            </w:r>
            <w:r w:rsidR="00AE3962">
              <w:rPr>
                <w:b/>
                <w:bCs/>
                <w:color w:val="000000"/>
              </w:rPr>
              <w:t>r</w:t>
            </w:r>
            <w:proofErr w:type="spellEnd"/>
            <w:r w:rsidR="00AE3962">
              <w:rPr>
                <w:b/>
                <w:bCs/>
                <w:color w:val="000000"/>
              </w:rPr>
              <w:t>:</w:t>
            </w:r>
          </w:p>
        </w:tc>
        <w:tc>
          <w:tcPr>
            <w:tcW w:w="1260" w:type="dxa"/>
          </w:tcPr>
          <w:p w:rsidR="00AE3962" w:rsidRPr="004E6A6A" w:rsidRDefault="003A53F8" w:rsidP="003A53F8">
            <w:pPr>
              <w:pStyle w:val="BodyText"/>
              <w:tabs>
                <w:tab w:val="left" w:pos="1620"/>
                <w:tab w:val="left" w:pos="57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BP-00</w:t>
            </w:r>
            <w:r w:rsidR="00AE3962" w:rsidRPr="004E6A6A">
              <w:rPr>
                <w:bCs/>
                <w:color w:val="000000"/>
              </w:rPr>
              <w:t>-</w:t>
            </w:r>
            <w:r w:rsidR="001733DA">
              <w:rPr>
                <w:bCs/>
                <w:color w:val="000000"/>
              </w:rPr>
              <w:t>004</w:t>
            </w:r>
          </w:p>
        </w:tc>
        <w:tc>
          <w:tcPr>
            <w:tcW w:w="1710" w:type="dxa"/>
          </w:tcPr>
          <w:p w:rsidR="00AE3962" w:rsidRDefault="00740D6E" w:rsidP="003A53F8">
            <w:pPr>
              <w:pStyle w:val="BodyText"/>
              <w:tabs>
                <w:tab w:val="left" w:pos="1620"/>
                <w:tab w:val="left" w:pos="5760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Orig. Eff.</w:t>
            </w:r>
            <w:r w:rsidR="00AE3962">
              <w:rPr>
                <w:b/>
                <w:bCs/>
                <w:color w:val="000000"/>
              </w:rPr>
              <w:t xml:space="preserve"> Date:</w:t>
            </w:r>
          </w:p>
        </w:tc>
        <w:tc>
          <w:tcPr>
            <w:tcW w:w="4950" w:type="dxa"/>
            <w:gridSpan w:val="3"/>
          </w:tcPr>
          <w:p w:rsidR="00AE3962" w:rsidRPr="004E6A6A" w:rsidRDefault="001733DA" w:rsidP="00847945">
            <w:pPr>
              <w:pStyle w:val="BodyText"/>
              <w:tabs>
                <w:tab w:val="left" w:pos="1620"/>
                <w:tab w:val="left" w:pos="57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08/31/2010</w:t>
            </w:r>
          </w:p>
        </w:tc>
      </w:tr>
      <w:tr w:rsidR="00740D6E" w:rsidTr="00740D6E">
        <w:tc>
          <w:tcPr>
            <w:tcW w:w="1530" w:type="dxa"/>
          </w:tcPr>
          <w:p w:rsidR="003A53F8" w:rsidRDefault="003A53F8" w:rsidP="00847945">
            <w:pPr>
              <w:pStyle w:val="BodyText"/>
              <w:tabs>
                <w:tab w:val="left" w:pos="1620"/>
                <w:tab w:val="left" w:pos="5760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Revision </w:t>
            </w:r>
            <w:proofErr w:type="spellStart"/>
            <w:r>
              <w:rPr>
                <w:b/>
                <w:bCs/>
                <w:color w:val="000000"/>
              </w:rPr>
              <w:t>Nbr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260" w:type="dxa"/>
          </w:tcPr>
          <w:p w:rsidR="003A53F8" w:rsidRPr="004E6A6A" w:rsidRDefault="001733DA" w:rsidP="00847945">
            <w:pPr>
              <w:pStyle w:val="BodyText"/>
              <w:tabs>
                <w:tab w:val="left" w:pos="1620"/>
                <w:tab w:val="left" w:pos="57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1710" w:type="dxa"/>
          </w:tcPr>
          <w:p w:rsidR="003A53F8" w:rsidRPr="004E6A6A" w:rsidRDefault="003A53F8" w:rsidP="003A53F8">
            <w:pPr>
              <w:pStyle w:val="BodyText"/>
              <w:tabs>
                <w:tab w:val="left" w:pos="1620"/>
                <w:tab w:val="left" w:pos="5760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Revision Date:</w:t>
            </w:r>
          </w:p>
        </w:tc>
        <w:tc>
          <w:tcPr>
            <w:tcW w:w="1260" w:type="dxa"/>
          </w:tcPr>
          <w:p w:rsidR="003A53F8" w:rsidRPr="004E6A6A" w:rsidRDefault="001733DA" w:rsidP="00847945">
            <w:pPr>
              <w:pStyle w:val="BodyText"/>
              <w:tabs>
                <w:tab w:val="left" w:pos="1620"/>
                <w:tab w:val="left" w:pos="57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07/17/2012</w:t>
            </w:r>
          </w:p>
        </w:tc>
        <w:tc>
          <w:tcPr>
            <w:tcW w:w="1350" w:type="dxa"/>
          </w:tcPr>
          <w:p w:rsidR="003A53F8" w:rsidRPr="003A53F8" w:rsidRDefault="003A53F8" w:rsidP="003A53F8">
            <w:pPr>
              <w:pStyle w:val="BodyText"/>
              <w:tabs>
                <w:tab w:val="left" w:pos="1620"/>
                <w:tab w:val="left" w:pos="5760"/>
              </w:tabs>
              <w:jc w:val="right"/>
              <w:rPr>
                <w:b/>
                <w:bCs/>
                <w:color w:val="000000"/>
              </w:rPr>
            </w:pPr>
            <w:r w:rsidRPr="003A53F8">
              <w:rPr>
                <w:b/>
                <w:bCs/>
                <w:color w:val="000000"/>
              </w:rPr>
              <w:t>Revised By:</w:t>
            </w:r>
          </w:p>
        </w:tc>
        <w:tc>
          <w:tcPr>
            <w:tcW w:w="2340" w:type="dxa"/>
          </w:tcPr>
          <w:p w:rsidR="003A53F8" w:rsidRPr="004E6A6A" w:rsidRDefault="001733DA" w:rsidP="001733DA">
            <w:pPr>
              <w:pStyle w:val="BodyText"/>
              <w:tabs>
                <w:tab w:val="left" w:pos="1620"/>
                <w:tab w:val="left" w:pos="5760"/>
              </w:tabs>
              <w:rPr>
                <w:bCs/>
                <w:color w:val="000000"/>
              </w:rPr>
            </w:pPr>
            <w:r w:rsidRPr="001733DA">
              <w:rPr>
                <w:bCs/>
                <w:color w:val="000000"/>
              </w:rPr>
              <w:t>A.</w:t>
            </w:r>
            <w:r>
              <w:rPr>
                <w:bCs/>
                <w:color w:val="000000"/>
              </w:rPr>
              <w:t xml:space="preserve"> Michael Berman</w:t>
            </w:r>
          </w:p>
        </w:tc>
      </w:tr>
    </w:tbl>
    <w:p w:rsidR="003A53F8" w:rsidRPr="00AE3962" w:rsidRDefault="003A53F8" w:rsidP="003A53F8"/>
    <w:sectPr w:rsidR="003A53F8" w:rsidRPr="00AE3962" w:rsidSect="003A53F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599" w:rsidRDefault="00F46599" w:rsidP="0025716C">
      <w:r>
        <w:separator/>
      </w:r>
    </w:p>
  </w:endnote>
  <w:endnote w:type="continuationSeparator" w:id="0">
    <w:p w:rsidR="00F46599" w:rsidRDefault="00F46599" w:rsidP="00257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6C" w:rsidRDefault="000E5306">
    <w:pPr>
      <w:pStyle w:val="Footer"/>
      <w:jc w:val="right"/>
      <w:rPr>
        <w:i/>
        <w:iCs/>
        <w:sz w:val="12"/>
      </w:rPr>
    </w:pPr>
    <w:r>
      <w:rPr>
        <w:i/>
        <w:iCs/>
        <w:sz w:val="12"/>
      </w:rPr>
      <w:t>REV</w:t>
    </w:r>
    <w:r w:rsidR="001733DA">
      <w:rPr>
        <w:i/>
        <w:iCs/>
        <w:sz w:val="12"/>
      </w:rPr>
      <w:t>-01 -</w:t>
    </w:r>
    <w:r>
      <w:rPr>
        <w:i/>
        <w:iCs/>
        <w:sz w:val="12"/>
      </w:rPr>
      <w:t xml:space="preserve"> </w:t>
    </w:r>
    <w:r w:rsidR="001733DA">
      <w:rPr>
        <w:i/>
        <w:iCs/>
        <w:sz w:val="12"/>
      </w:rPr>
      <w:t>7</w:t>
    </w:r>
    <w:r w:rsidR="00220484">
      <w:rPr>
        <w:i/>
        <w:iCs/>
        <w:sz w:val="12"/>
      </w:rPr>
      <w:t>/2012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599" w:rsidRDefault="00F46599" w:rsidP="0025716C">
      <w:r>
        <w:separator/>
      </w:r>
    </w:p>
  </w:footnote>
  <w:footnote w:type="continuationSeparator" w:id="0">
    <w:p w:rsidR="00F46599" w:rsidRDefault="00F46599" w:rsidP="00257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6A" w:rsidRDefault="004E6A6A">
    <w:pPr>
      <w:pStyle w:val="Header"/>
      <w:rPr>
        <w:color w:val="000000"/>
      </w:rPr>
    </w:pPr>
    <w:r w:rsidRPr="004E6A6A">
      <w:rPr>
        <w:noProof/>
        <w:color w:val="000000"/>
      </w:rPr>
      <w:drawing>
        <wp:inline distT="0" distB="0" distL="0" distR="0">
          <wp:extent cx="2073965" cy="897525"/>
          <wp:effectExtent l="0" t="0" r="0" b="0"/>
          <wp:docPr id="2" name="Picture 1" descr="Z:\LOGOS\Extensions\Technology &amp; Communication\DTC\EXT_D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LOGOS\Extensions\Technology &amp; Communication\DTC\EXT_DT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862" cy="89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6A6A" w:rsidRDefault="0069411F" w:rsidP="004E6A6A">
    <w:pPr>
      <w:pStyle w:val="Header"/>
      <w:rPr>
        <w:color w:val="000000"/>
      </w:rPr>
    </w:pPr>
    <w:r w:rsidRPr="0069411F">
      <w:rPr>
        <w:color w:val="000000"/>
      </w:rPr>
      <w:pict>
        <v:rect id="_x0000_i1025" style="width:0;height:1.5pt" o:hralign="center" o:hrstd="t" o:hr="t" fillcolor="#a0a0a0" stroked="f"/>
      </w:pict>
    </w:r>
  </w:p>
  <w:tbl>
    <w:tblPr>
      <w:tblStyle w:val="TableGrid"/>
      <w:tblW w:w="0" w:type="auto"/>
      <w:tblInd w:w="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0"/>
      <w:gridCol w:w="3780"/>
      <w:gridCol w:w="1620"/>
      <w:gridCol w:w="2088"/>
    </w:tblGrid>
    <w:tr w:rsidR="004E6A6A" w:rsidTr="001D4790">
      <w:tc>
        <w:tcPr>
          <w:tcW w:w="1980" w:type="dxa"/>
        </w:tcPr>
        <w:p w:rsidR="004E6A6A" w:rsidRDefault="004E6A6A" w:rsidP="004E6A6A">
          <w:pPr>
            <w:pStyle w:val="BodyText"/>
            <w:tabs>
              <w:tab w:val="left" w:pos="1620"/>
              <w:tab w:val="left" w:pos="5760"/>
            </w:tabs>
            <w:jc w:val="right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Process Number:</w:t>
          </w:r>
        </w:p>
      </w:tc>
      <w:tc>
        <w:tcPr>
          <w:tcW w:w="3780" w:type="dxa"/>
        </w:tcPr>
        <w:p w:rsidR="004E6A6A" w:rsidRPr="004E6A6A" w:rsidRDefault="004E6A6A" w:rsidP="001733DA">
          <w:pPr>
            <w:pStyle w:val="BodyText"/>
            <w:tabs>
              <w:tab w:val="left" w:pos="1620"/>
              <w:tab w:val="left" w:pos="5760"/>
            </w:tabs>
            <w:rPr>
              <w:bCs/>
              <w:color w:val="000000"/>
            </w:rPr>
          </w:pPr>
          <w:r w:rsidRPr="004E6A6A">
            <w:rPr>
              <w:bCs/>
              <w:color w:val="000000"/>
            </w:rPr>
            <w:t>BP-</w:t>
          </w:r>
          <w:r w:rsidR="001733DA">
            <w:rPr>
              <w:bCs/>
              <w:color w:val="000000"/>
            </w:rPr>
            <w:t>00-004</w:t>
          </w:r>
        </w:p>
      </w:tc>
      <w:tc>
        <w:tcPr>
          <w:tcW w:w="1620" w:type="dxa"/>
        </w:tcPr>
        <w:p w:rsidR="004E6A6A" w:rsidRDefault="004E6A6A" w:rsidP="004E6A6A">
          <w:pPr>
            <w:pStyle w:val="BodyText"/>
            <w:tabs>
              <w:tab w:val="left" w:pos="1620"/>
              <w:tab w:val="left" w:pos="5760"/>
            </w:tabs>
            <w:jc w:val="right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Effective Date:</w:t>
          </w:r>
        </w:p>
      </w:tc>
      <w:tc>
        <w:tcPr>
          <w:tcW w:w="2088" w:type="dxa"/>
        </w:tcPr>
        <w:p w:rsidR="004E6A6A" w:rsidRPr="004E6A6A" w:rsidRDefault="001733DA" w:rsidP="001733DA">
          <w:pPr>
            <w:pStyle w:val="BodyText"/>
            <w:tabs>
              <w:tab w:val="left" w:pos="1620"/>
              <w:tab w:val="left" w:pos="5760"/>
            </w:tabs>
            <w:rPr>
              <w:bCs/>
              <w:color w:val="000000"/>
            </w:rPr>
          </w:pPr>
          <w:r>
            <w:rPr>
              <w:bCs/>
              <w:color w:val="000000"/>
            </w:rPr>
            <w:t>31 August 2010</w:t>
          </w:r>
        </w:p>
      </w:tc>
    </w:tr>
    <w:tr w:rsidR="001D4790" w:rsidTr="001D4790">
      <w:tc>
        <w:tcPr>
          <w:tcW w:w="1980" w:type="dxa"/>
        </w:tcPr>
        <w:p w:rsidR="001D4790" w:rsidRDefault="001D4790" w:rsidP="004E6A6A">
          <w:pPr>
            <w:pStyle w:val="BodyText"/>
            <w:tabs>
              <w:tab w:val="left" w:pos="1620"/>
              <w:tab w:val="left" w:pos="5760"/>
            </w:tabs>
            <w:jc w:val="right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Approved By:</w:t>
          </w:r>
        </w:p>
      </w:tc>
      <w:tc>
        <w:tcPr>
          <w:tcW w:w="3780" w:type="dxa"/>
        </w:tcPr>
        <w:p w:rsidR="001D4790" w:rsidRDefault="001D4790" w:rsidP="004E6A6A">
          <w:pPr>
            <w:pStyle w:val="BodyText"/>
            <w:tabs>
              <w:tab w:val="left" w:pos="1620"/>
              <w:tab w:val="left" w:pos="5760"/>
            </w:tabs>
            <w:rPr>
              <w:bCs/>
              <w:color w:val="000000"/>
            </w:rPr>
          </w:pPr>
          <w:r w:rsidRPr="004E6A6A">
            <w:rPr>
              <w:bCs/>
              <w:color w:val="000000"/>
            </w:rPr>
            <w:t>A.</w:t>
          </w:r>
          <w:r>
            <w:rPr>
              <w:bCs/>
              <w:color w:val="000000"/>
            </w:rPr>
            <w:t xml:space="preserve"> Michael Berman</w:t>
          </w:r>
        </w:p>
        <w:p w:rsidR="001D4790" w:rsidRPr="004E6A6A" w:rsidRDefault="001D4790" w:rsidP="004E6A6A">
          <w:pPr>
            <w:pStyle w:val="BodyText"/>
            <w:tabs>
              <w:tab w:val="left" w:pos="1620"/>
              <w:tab w:val="left" w:pos="5760"/>
            </w:tabs>
            <w:rPr>
              <w:bCs/>
              <w:color w:val="000000"/>
            </w:rPr>
          </w:pPr>
          <w:r>
            <w:rPr>
              <w:bCs/>
              <w:color w:val="000000"/>
            </w:rPr>
            <w:t>VP for Technology &amp; Communication</w:t>
          </w:r>
        </w:p>
      </w:tc>
      <w:tc>
        <w:tcPr>
          <w:tcW w:w="1620" w:type="dxa"/>
        </w:tcPr>
        <w:p w:rsidR="001D4790" w:rsidRPr="004E6A6A" w:rsidRDefault="001D4790" w:rsidP="004E6A6A">
          <w:pPr>
            <w:pStyle w:val="BodyText"/>
            <w:tabs>
              <w:tab w:val="left" w:pos="1620"/>
              <w:tab w:val="left" w:pos="5760"/>
            </w:tabs>
            <w:jc w:val="right"/>
            <w:rPr>
              <w:b/>
              <w:bCs/>
              <w:color w:val="000000"/>
            </w:rPr>
          </w:pPr>
        </w:p>
      </w:tc>
      <w:tc>
        <w:tcPr>
          <w:tcW w:w="2088" w:type="dxa"/>
        </w:tcPr>
        <w:p w:rsidR="001D4790" w:rsidRPr="004E6A6A" w:rsidRDefault="001D4790" w:rsidP="001D4790">
          <w:pPr>
            <w:pStyle w:val="BodyText"/>
            <w:tabs>
              <w:tab w:val="left" w:pos="1620"/>
              <w:tab w:val="left" w:pos="5760"/>
            </w:tabs>
            <w:rPr>
              <w:b/>
              <w:bCs/>
              <w:color w:val="000000"/>
            </w:rPr>
          </w:pPr>
          <w:r w:rsidRPr="004E6A6A">
            <w:rPr>
              <w:b/>
              <w:bCs/>
              <w:color w:val="000000"/>
            </w:rPr>
            <w:t xml:space="preserve">Page </w:t>
          </w:r>
          <w:r w:rsidRPr="004E6A6A">
            <w:rPr>
              <w:b/>
              <w:bCs/>
              <w:color w:val="000000"/>
            </w:rPr>
            <w:fldChar w:fldCharType="begin"/>
          </w:r>
          <w:r w:rsidRPr="004E6A6A">
            <w:rPr>
              <w:b/>
              <w:bCs/>
              <w:color w:val="000000"/>
            </w:rPr>
            <w:instrText xml:space="preserve"> PAGE  \* Arabic  \* MERGEFORMAT </w:instrText>
          </w:r>
          <w:r w:rsidRPr="004E6A6A">
            <w:rPr>
              <w:b/>
              <w:bCs/>
              <w:color w:val="000000"/>
            </w:rPr>
            <w:fldChar w:fldCharType="separate"/>
          </w:r>
          <w:r w:rsidR="00532533">
            <w:rPr>
              <w:b/>
              <w:bCs/>
              <w:noProof/>
              <w:color w:val="000000"/>
            </w:rPr>
            <w:t>2</w:t>
          </w:r>
          <w:r w:rsidRPr="004E6A6A">
            <w:rPr>
              <w:b/>
              <w:bCs/>
              <w:color w:val="000000"/>
            </w:rPr>
            <w:fldChar w:fldCharType="end"/>
          </w:r>
          <w:r w:rsidRPr="004E6A6A">
            <w:rPr>
              <w:b/>
              <w:bCs/>
              <w:color w:val="000000"/>
            </w:rPr>
            <w:t xml:space="preserve"> of </w:t>
          </w:r>
          <w:fldSimple w:instr=" NUMPAGES  \* Arabic  \* MERGEFORMAT ">
            <w:r w:rsidR="00532533" w:rsidRPr="00532533">
              <w:rPr>
                <w:b/>
                <w:bCs/>
                <w:noProof/>
                <w:color w:val="000000"/>
              </w:rPr>
              <w:t>2</w:t>
            </w:r>
          </w:fldSimple>
        </w:p>
      </w:tc>
    </w:tr>
  </w:tbl>
  <w:p w:rsidR="004E6A6A" w:rsidRDefault="0069411F" w:rsidP="00952A49">
    <w:pPr>
      <w:pStyle w:val="BodyText"/>
      <w:tabs>
        <w:tab w:val="left" w:pos="1620"/>
        <w:tab w:val="left" w:pos="5760"/>
      </w:tabs>
      <w:rPr>
        <w:b/>
        <w:bCs/>
        <w:color w:val="000000"/>
      </w:rPr>
    </w:pPr>
    <w:r w:rsidRPr="0069411F">
      <w:rPr>
        <w:color w:val="000000"/>
      </w:rPr>
      <w:pict>
        <v:rect id="_x0000_i1026" style="width:0;height:1.5pt" o:hralign="center" o:hrstd="t" o:hr="t" fillcolor="#a0a0a0" stroked="f"/>
      </w:pict>
    </w:r>
  </w:p>
  <w:p w:rsidR="00DC2D6C" w:rsidRDefault="004E6A6A" w:rsidP="004E6A6A">
    <w:pPr>
      <w:pStyle w:val="Heading3"/>
      <w:jc w:val="center"/>
    </w:pPr>
    <w:r>
      <w:t xml:space="preserve">Business Practice for </w:t>
    </w:r>
    <w:r w:rsidR="001733DA">
      <w:t>Administrator-in-Charge</w:t>
    </w:r>
  </w:p>
  <w:p w:rsidR="004E6A6A" w:rsidRDefault="0069411F" w:rsidP="004E6A6A">
    <w:pPr>
      <w:rPr>
        <w:color w:val="000000"/>
      </w:rPr>
    </w:pPr>
    <w:r w:rsidRPr="0069411F">
      <w:rPr>
        <w:color w:val="000000"/>
      </w:rPr>
      <w:pict>
        <v:rect id="_x0000_i1027" style="width:0;height:1.5pt" o:hralign="center" o:hrstd="t" o:hr="t" fillcolor="#a0a0a0" stroked="f"/>
      </w:pict>
    </w:r>
  </w:p>
  <w:p w:rsidR="001733DA" w:rsidRPr="004E6A6A" w:rsidRDefault="001733DA" w:rsidP="004E6A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8DB"/>
    <w:multiLevelType w:val="hybridMultilevel"/>
    <w:tmpl w:val="B68A5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004"/>
    <w:multiLevelType w:val="multilevel"/>
    <w:tmpl w:val="4E3E2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F804CF9"/>
    <w:multiLevelType w:val="multilevel"/>
    <w:tmpl w:val="5A2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A001D"/>
    <w:multiLevelType w:val="multilevel"/>
    <w:tmpl w:val="F05A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44306"/>
    <w:multiLevelType w:val="hybridMultilevel"/>
    <w:tmpl w:val="FF228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F44E2"/>
    <w:multiLevelType w:val="multilevel"/>
    <w:tmpl w:val="CDB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0303B"/>
    <w:multiLevelType w:val="multilevel"/>
    <w:tmpl w:val="EEA8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7459F"/>
    <w:multiLevelType w:val="multilevel"/>
    <w:tmpl w:val="6354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A1D17"/>
    <w:multiLevelType w:val="multilevel"/>
    <w:tmpl w:val="7DF2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55935"/>
    <w:multiLevelType w:val="hybridMultilevel"/>
    <w:tmpl w:val="0590B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65AC"/>
    <w:multiLevelType w:val="hybridMultilevel"/>
    <w:tmpl w:val="71CAE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8083F"/>
    <w:multiLevelType w:val="multilevel"/>
    <w:tmpl w:val="1F14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06291"/>
    <w:multiLevelType w:val="hybridMultilevel"/>
    <w:tmpl w:val="599A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D33B3"/>
    <w:multiLevelType w:val="multilevel"/>
    <w:tmpl w:val="0ED8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316E"/>
    <w:rsid w:val="000E5306"/>
    <w:rsid w:val="001733DA"/>
    <w:rsid w:val="001D4790"/>
    <w:rsid w:val="00220484"/>
    <w:rsid w:val="00254820"/>
    <w:rsid w:val="0025716C"/>
    <w:rsid w:val="003A53F8"/>
    <w:rsid w:val="0049494E"/>
    <w:rsid w:val="004E6A6A"/>
    <w:rsid w:val="00532533"/>
    <w:rsid w:val="005530D3"/>
    <w:rsid w:val="005A75E0"/>
    <w:rsid w:val="005D31CC"/>
    <w:rsid w:val="005D44B8"/>
    <w:rsid w:val="0069411F"/>
    <w:rsid w:val="00740D6E"/>
    <w:rsid w:val="00865C86"/>
    <w:rsid w:val="009C5947"/>
    <w:rsid w:val="00A61545"/>
    <w:rsid w:val="00A72D72"/>
    <w:rsid w:val="00A7316E"/>
    <w:rsid w:val="00A854DF"/>
    <w:rsid w:val="00AC7A56"/>
    <w:rsid w:val="00AE3962"/>
    <w:rsid w:val="00AF5D7D"/>
    <w:rsid w:val="00C4582E"/>
    <w:rsid w:val="00E46765"/>
    <w:rsid w:val="00F46599"/>
    <w:rsid w:val="00FE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6C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615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5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5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4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4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5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15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15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154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4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4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4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4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4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5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5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54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545"/>
    <w:rPr>
      <w:b/>
      <w:bCs/>
    </w:rPr>
  </w:style>
  <w:style w:type="character" w:styleId="Emphasis">
    <w:name w:val="Emphasis"/>
    <w:basedOn w:val="DefaultParagraphFont"/>
    <w:uiPriority w:val="20"/>
    <w:qFormat/>
    <w:rsid w:val="00A6154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545"/>
    <w:rPr>
      <w:szCs w:val="32"/>
    </w:rPr>
  </w:style>
  <w:style w:type="paragraph" w:styleId="ListParagraph">
    <w:name w:val="List Paragraph"/>
    <w:basedOn w:val="Normal"/>
    <w:uiPriority w:val="34"/>
    <w:qFormat/>
    <w:rsid w:val="00A615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54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54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4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45"/>
    <w:rPr>
      <w:b/>
      <w:i/>
      <w:sz w:val="24"/>
    </w:rPr>
  </w:style>
  <w:style w:type="character" w:styleId="SubtleEmphasis">
    <w:name w:val="Subtle Emphasis"/>
    <w:uiPriority w:val="19"/>
    <w:qFormat/>
    <w:rsid w:val="00A6154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54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5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54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54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545"/>
    <w:pPr>
      <w:outlineLvl w:val="9"/>
    </w:pPr>
  </w:style>
  <w:style w:type="paragraph" w:styleId="Header">
    <w:name w:val="header"/>
    <w:basedOn w:val="Normal"/>
    <w:link w:val="HeaderChar"/>
    <w:rsid w:val="00257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716C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257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716C"/>
    <w:rPr>
      <w:rFonts w:ascii="Times New Roman" w:eastAsia="Times New Roman" w:hAnsi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25716C"/>
    <w:rPr>
      <w:sz w:val="22"/>
    </w:rPr>
  </w:style>
  <w:style w:type="character" w:customStyle="1" w:styleId="BodyTextChar">
    <w:name w:val="Body Text Char"/>
    <w:basedOn w:val="DefaultParagraphFont"/>
    <w:link w:val="BodyText"/>
    <w:rsid w:val="0025716C"/>
    <w:rPr>
      <w:rFonts w:ascii="Times New Roman" w:eastAsia="Times New Roman" w:hAnsi="Times New Roman"/>
      <w:szCs w:val="24"/>
      <w:lang w:bidi="ar-SA"/>
    </w:rPr>
  </w:style>
  <w:style w:type="character" w:customStyle="1" w:styleId="apple-style-span">
    <w:name w:val="apple-style-span"/>
    <w:basedOn w:val="DefaultParagraphFont"/>
    <w:rsid w:val="0025716C"/>
  </w:style>
  <w:style w:type="character" w:customStyle="1" w:styleId="apple-converted-space">
    <w:name w:val="apple-converted-space"/>
    <w:basedOn w:val="DefaultParagraphFont"/>
    <w:rsid w:val="0025716C"/>
  </w:style>
  <w:style w:type="paragraph" w:styleId="BalloonText">
    <w:name w:val="Balloon Text"/>
    <w:basedOn w:val="Normal"/>
    <w:link w:val="BalloonTextChar"/>
    <w:uiPriority w:val="99"/>
    <w:semiHidden/>
    <w:unhideWhenUsed/>
    <w:rsid w:val="005A7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E0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4E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al.fisch\Documents\My%20Dropbox\A&amp;IT%20Draft%20Business%20Practices\BP-Template%20v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C1A9-EFE6-4BD3-83DA-C2BE063E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BP-Template ver2.dotx</Template>
  <TotalTime>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CSUCI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2012-07-20T22:10:00Z</dcterms:created>
  <dcterms:modified xsi:type="dcterms:W3CDTF">2012-07-20T22:19:00Z</dcterms:modified>
</cp:coreProperties>
</file>