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12D74C57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2E4A82">
        <w:rPr>
          <w:rFonts w:ascii="Arial" w:eastAsia="Arial" w:hAnsi="Arial" w:cs="Arial"/>
          <w:sz w:val="28"/>
          <w:szCs w:val="28"/>
        </w:rPr>
        <w:t>Minutes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D911FD">
        <w:rPr>
          <w:rFonts w:ascii="Arial" w:eastAsia="Arial" w:hAnsi="Arial" w:cs="Arial"/>
          <w:sz w:val="28"/>
          <w:szCs w:val="28"/>
        </w:rPr>
        <w:t>November 6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791175">
        <w:rPr>
          <w:rFonts w:ascii="Arial" w:eastAsia="Arial" w:hAnsi="Arial" w:cs="Arial"/>
          <w:sz w:val="28"/>
          <w:szCs w:val="28"/>
        </w:rPr>
        <w:t>8:15- 9:00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0D3F1A31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AA1F22">
        <w:rPr>
          <w:rFonts w:ascii="Arial"/>
          <w:spacing w:val="-6"/>
          <w:sz w:val="24"/>
        </w:rPr>
        <w:t xml:space="preserve">conclude </w:t>
      </w:r>
      <w:r w:rsidR="00A06952">
        <w:rPr>
          <w:rFonts w:ascii="Arial"/>
          <w:spacing w:val="-6"/>
          <w:sz w:val="24"/>
        </w:rPr>
        <w:t xml:space="preserve">review </w:t>
      </w:r>
      <w:r w:rsidR="00AA1F22">
        <w:rPr>
          <w:rFonts w:ascii="Arial"/>
          <w:spacing w:val="-6"/>
          <w:sz w:val="24"/>
        </w:rPr>
        <w:t xml:space="preserve">of </w:t>
      </w:r>
      <w:r w:rsidR="00A06952">
        <w:rPr>
          <w:rFonts w:ascii="Arial"/>
          <w:spacing w:val="-6"/>
          <w:sz w:val="24"/>
        </w:rPr>
        <w:t>Category-III proposals in p</w:t>
      </w:r>
      <w:r w:rsidR="00AA1F22">
        <w:rPr>
          <w:rFonts w:ascii="Arial"/>
          <w:spacing w:val="-6"/>
          <w:sz w:val="24"/>
        </w:rPr>
        <w:t>reparation for voting procedure; discuss upcoming Cat-II proposals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3946E652" w14:textId="0AC8B9E3" w:rsidR="007A64AF" w:rsidRDefault="002E4A82" w:rsidP="000C345A">
      <w:pPr>
        <w:pStyle w:val="BodyText"/>
        <w:tabs>
          <w:tab w:val="left" w:pos="1220"/>
        </w:tabs>
        <w:spacing w:line="256" w:lineRule="auto"/>
        <w:ind w:right="214" w:firstLine="0"/>
      </w:pPr>
      <w:r w:rsidRPr="004B1C72">
        <w:rPr>
          <w:b/>
        </w:rPr>
        <w:t>Attendees:</w:t>
      </w:r>
      <w:r>
        <w:t xml:space="preserve"> Sean Kelly, </w:t>
      </w:r>
      <w:proofErr w:type="spellStart"/>
      <w:r w:rsidR="00646603">
        <w:t>Vigneshwa</w:t>
      </w:r>
      <w:r>
        <w:t>ri</w:t>
      </w:r>
      <w:proofErr w:type="spellEnd"/>
      <w:r>
        <w:t xml:space="preserve"> Kumar,</w:t>
      </w:r>
      <w:r w:rsidR="002950C2">
        <w:t xml:space="preserve"> </w:t>
      </w:r>
      <w:proofErr w:type="spellStart"/>
      <w:r w:rsidR="002950C2">
        <w:t>JuanPau</w:t>
      </w:r>
      <w:r w:rsidR="00551203">
        <w:t>lo</w:t>
      </w:r>
      <w:proofErr w:type="spellEnd"/>
      <w:r w:rsidR="00551203">
        <w:t xml:space="preserve"> </w:t>
      </w:r>
      <w:proofErr w:type="spellStart"/>
      <w:r w:rsidR="00551203">
        <w:t>Quiatchon</w:t>
      </w:r>
      <w:proofErr w:type="spellEnd"/>
      <w:r w:rsidR="00551203">
        <w:t>,</w:t>
      </w:r>
      <w:r w:rsidR="000C345A">
        <w:t xml:space="preserve"> Lynette Landry, Bryan Ruiz, Andrea Skinner</w:t>
      </w:r>
    </w:p>
    <w:p w14:paraId="6828DF88" w14:textId="373E17E9" w:rsidR="002E4A82" w:rsidRDefault="002E4A8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  <w:r>
        <w:tab/>
      </w:r>
      <w:r w:rsidRPr="004B1C72">
        <w:rPr>
          <w:b/>
        </w:rPr>
        <w:t>Staff:</w:t>
      </w:r>
      <w:r>
        <w:t xml:space="preserve"> David Daniels, </w:t>
      </w:r>
      <w:proofErr w:type="spellStart"/>
      <w:r>
        <w:t>Alexxa</w:t>
      </w:r>
      <w:proofErr w:type="spellEnd"/>
      <w:r>
        <w:t xml:space="preserve"> Esparza</w:t>
      </w:r>
      <w:r w:rsidR="00DE0F18">
        <w:t xml:space="preserve">, </w:t>
      </w:r>
      <w:r w:rsidR="002950C2">
        <w:t>Tom Hunt</w:t>
      </w:r>
    </w:p>
    <w:p w14:paraId="54D45148" w14:textId="77777777" w:rsidR="00A06952" w:rsidRDefault="00A0695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84EE529" w14:textId="24E558C1" w:rsidR="00A06952" w:rsidRDefault="007A64AF" w:rsidP="00AA1F2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06952">
        <w:t>Approval of meeting agenda and prior meeting’s minutes</w:t>
      </w:r>
    </w:p>
    <w:p w14:paraId="3E788D3F" w14:textId="59D13902" w:rsidR="002E4A82" w:rsidRDefault="002E4A82" w:rsidP="002E4A8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Meeting called to order at 8:</w:t>
      </w:r>
      <w:r w:rsidR="000C345A">
        <w:t>17 am.</w:t>
      </w:r>
    </w:p>
    <w:p w14:paraId="7E1D6959" w14:textId="65DC9BDD" w:rsidR="002E4A82" w:rsidRDefault="002E4A82" w:rsidP="002E4A8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B. Ruiz motioned to approve meeting minutes and agenda.</w:t>
      </w:r>
      <w:r w:rsidR="000C345A">
        <w:t xml:space="preserve"> V. Kumar seconded. All approved.</w:t>
      </w:r>
    </w:p>
    <w:p w14:paraId="4995282E" w14:textId="45946C42" w:rsidR="00556618" w:rsidRDefault="00556618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6A09FED5" w14:textId="77777777" w:rsidR="00A06952" w:rsidRDefault="00A06952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2E343E4" w14:textId="5E5D8A23" w:rsidR="00A06952" w:rsidRDefault="00A06952" w:rsidP="00A069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911FD">
        <w:t xml:space="preserve">Concluding discussion </w:t>
      </w:r>
      <w:r>
        <w:t>of Cat-III Proposals</w:t>
      </w:r>
    </w:p>
    <w:p w14:paraId="458957DA" w14:textId="12F57E59" w:rsidR="005954AC" w:rsidRDefault="005954AC" w:rsidP="005954A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Comments on other Cat-III proposals not previously discussed</w:t>
      </w:r>
    </w:p>
    <w:p w14:paraId="233F899A" w14:textId="033D2DED" w:rsidR="000C345A" w:rsidRDefault="000C345A" w:rsidP="000C345A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D. Daniels suggest</w:t>
      </w:r>
      <w:r w:rsidR="007940A6">
        <w:t>ed</w:t>
      </w:r>
      <w:r w:rsidR="00791175">
        <w:t xml:space="preserve"> conclusion of </w:t>
      </w:r>
      <w:r>
        <w:t>Cat-</w:t>
      </w:r>
      <w:proofErr w:type="spellStart"/>
      <w:r>
        <w:t>lll</w:t>
      </w:r>
      <w:proofErr w:type="spellEnd"/>
      <w:r>
        <w:t xml:space="preserve"> proposals</w:t>
      </w:r>
      <w:r w:rsidR="007C010C">
        <w:t xml:space="preserve"> by end of meeting</w:t>
      </w:r>
      <w:r>
        <w:t>.</w:t>
      </w:r>
    </w:p>
    <w:p w14:paraId="67D09B6C" w14:textId="22617216" w:rsidR="000C345A" w:rsidRDefault="00791175" w:rsidP="000C345A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D. Daniels summarized</w:t>
      </w:r>
      <w:r w:rsidR="00276CEB">
        <w:t xml:space="preserve"> that a</w:t>
      </w:r>
      <w:r w:rsidR="007C010C">
        <w:t xml:space="preserve"> late UNIV 392 proposal for a </w:t>
      </w:r>
      <w:r w:rsidR="000C345A">
        <w:t>Costa Rica trip</w:t>
      </w:r>
      <w:r w:rsidR="00276CEB">
        <w:t xml:space="preserve"> </w:t>
      </w:r>
      <w:proofErr w:type="gramStart"/>
      <w:r w:rsidR="00276CEB">
        <w:t>was received</w:t>
      </w:r>
      <w:proofErr w:type="gramEnd"/>
      <w:r>
        <w:t xml:space="preserve">; recalled committee’s discussion that this proposal be deferred </w:t>
      </w:r>
      <w:r w:rsidR="007C010C">
        <w:t>until the end</w:t>
      </w:r>
      <w:r w:rsidR="007940A6">
        <w:t>, after reviewing all proposals submitted on time</w:t>
      </w:r>
      <w:r w:rsidR="000C345A">
        <w:t xml:space="preserve">. </w:t>
      </w:r>
      <w:r w:rsidR="008443BB">
        <w:t>D. Daniels also mentioned</w:t>
      </w:r>
      <w:r w:rsidR="007C010C">
        <w:t xml:space="preserve"> that </w:t>
      </w:r>
      <w:r w:rsidR="008443BB">
        <w:t xml:space="preserve">the </w:t>
      </w:r>
      <w:r w:rsidR="007C010C">
        <w:t>p</w:t>
      </w:r>
      <w:r w:rsidR="000C345A">
        <w:t>roposer politely requested for a response for this proposal by the end of the week.</w:t>
      </w:r>
    </w:p>
    <w:p w14:paraId="2D2D65D9" w14:textId="5E61345C" w:rsidR="00324EFE" w:rsidRDefault="00324EFE" w:rsidP="000C345A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#1130: Attend Grace Hopper Celebration of Women in Computing Conference</w:t>
      </w:r>
    </w:p>
    <w:p w14:paraId="7B64C58D" w14:textId="07AA3396" w:rsidR="0088526E" w:rsidRDefault="00324EFE" w:rsidP="0088526E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Event location to be determined</w:t>
      </w:r>
    </w:p>
    <w:p w14:paraId="2789A9CE" w14:textId="6D135D73" w:rsidR="0088526E" w:rsidRDefault="0088526E" w:rsidP="0088526E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Voting will commence next meeting.</w:t>
      </w:r>
    </w:p>
    <w:p w14:paraId="11B1A6C2" w14:textId="79EE8841" w:rsidR="00324EFE" w:rsidRDefault="007C010C" w:rsidP="00D77A2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#1111: UNIV 392- Art in Paris</w:t>
      </w:r>
    </w:p>
    <w:p w14:paraId="4EEE15DB" w14:textId="77777777" w:rsidR="00D77A25" w:rsidRDefault="00D77A25" w:rsidP="00324EFE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Discussion regarding funding this trip.</w:t>
      </w:r>
    </w:p>
    <w:p w14:paraId="45FEE7D8" w14:textId="4E8BC5B8" w:rsidR="00324EFE" w:rsidRDefault="00791175" w:rsidP="00D77A25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r>
        <w:t>L. Landry commented if IRA can</w:t>
      </w:r>
      <w:r w:rsidR="0076659D">
        <w:t xml:space="preserve">not fund the trip, </w:t>
      </w:r>
      <w:proofErr w:type="gramStart"/>
      <w:r w:rsidR="0076659D">
        <w:t>can</w:t>
      </w:r>
      <w:proofErr w:type="gramEnd"/>
      <w:r w:rsidR="0076659D">
        <w:t xml:space="preserve"> students fundraise for this trip? L. Landry requested </w:t>
      </w:r>
      <w:r w:rsidR="00324EFE">
        <w:t xml:space="preserve">clarification between a UNIV 392 </w:t>
      </w:r>
      <w:r w:rsidR="0076659D">
        <w:t xml:space="preserve">course </w:t>
      </w:r>
      <w:r w:rsidR="00324EFE">
        <w:t>and a field trip.</w:t>
      </w:r>
    </w:p>
    <w:p w14:paraId="68E6C133" w14:textId="618B1B8D" w:rsidR="005F3E5E" w:rsidRDefault="005F3E5E" w:rsidP="00D77A25">
      <w:pPr>
        <w:pStyle w:val="BodyText"/>
        <w:numPr>
          <w:ilvl w:val="5"/>
          <w:numId w:val="2"/>
        </w:numPr>
        <w:tabs>
          <w:tab w:val="left" w:pos="1220"/>
        </w:tabs>
        <w:spacing w:line="256" w:lineRule="auto"/>
        <w:ind w:right="214"/>
      </w:pPr>
      <w:r>
        <w:t xml:space="preserve">D. Daniels clarifies that a field trip </w:t>
      </w:r>
      <w:proofErr w:type="gramStart"/>
      <w:r>
        <w:t xml:space="preserve">is typically </w:t>
      </w:r>
      <w:r w:rsidR="0076659D">
        <w:t xml:space="preserve">fully </w:t>
      </w:r>
      <w:r>
        <w:t>funded</w:t>
      </w:r>
      <w:proofErr w:type="gramEnd"/>
      <w:r>
        <w:t xml:space="preserve">. </w:t>
      </w:r>
      <w:r w:rsidR="00791175">
        <w:t>UNIV 391 and UNIV 392</w:t>
      </w:r>
      <w:r w:rsidR="00D77A25">
        <w:t xml:space="preserve"> t</w:t>
      </w:r>
      <w:r>
        <w:t>rips typi</w:t>
      </w:r>
      <w:r w:rsidR="0076659D">
        <w:t>cally call for a course fee prior to</w:t>
      </w:r>
      <w:r>
        <w:t xml:space="preserve"> </w:t>
      </w:r>
      <w:r>
        <w:lastRenderedPageBreak/>
        <w:t>enrolling.</w:t>
      </w:r>
    </w:p>
    <w:p w14:paraId="6B0BA7CD" w14:textId="46ABB745" w:rsidR="005F3E5E" w:rsidRDefault="005F3E5E" w:rsidP="00D77A25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r>
        <w:t>B. Ruiz sugge</w:t>
      </w:r>
      <w:r w:rsidR="0076659D">
        <w:t>sted possibly reducing the</w:t>
      </w:r>
      <w:r>
        <w:t xml:space="preserve"> trip to 2 weeks inst</w:t>
      </w:r>
      <w:r w:rsidR="0076659D">
        <w:t>ead of 3</w:t>
      </w:r>
      <w:r w:rsidR="004B1C72">
        <w:t xml:space="preserve"> weeks. C</w:t>
      </w:r>
      <w:r w:rsidR="006B376D">
        <w:t>ould this</w:t>
      </w:r>
      <w:r>
        <w:t xml:space="preserve"> p</w:t>
      </w:r>
      <w:r w:rsidR="006B376D">
        <w:t>ossibly reduce the</w:t>
      </w:r>
      <w:r w:rsidR="004B1C72">
        <w:t xml:space="preserve"> trip expense? A. Skinner suggested</w:t>
      </w:r>
      <w:r w:rsidR="006B376D">
        <w:t xml:space="preserve"> this could possibly reduce the trip budget.</w:t>
      </w:r>
    </w:p>
    <w:p w14:paraId="599EA571" w14:textId="16F6FF90" w:rsidR="005F3E5E" w:rsidRDefault="006B376D" w:rsidP="00D77A25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r>
        <w:t xml:space="preserve">J. </w:t>
      </w:r>
      <w:proofErr w:type="spellStart"/>
      <w:r>
        <w:t>Quiatchon</w:t>
      </w:r>
      <w:proofErr w:type="spellEnd"/>
      <w:r>
        <w:t xml:space="preserve"> mentioned</w:t>
      </w:r>
      <w:r w:rsidR="005F3E5E">
        <w:t xml:space="preserve"> that this trip </w:t>
      </w:r>
      <w:proofErr w:type="gramStart"/>
      <w:r w:rsidR="005F3E5E">
        <w:t>has been previ</w:t>
      </w:r>
      <w:r>
        <w:t>ously funded</w:t>
      </w:r>
      <w:proofErr w:type="gramEnd"/>
      <w:r>
        <w:t xml:space="preserve">. J. </w:t>
      </w:r>
      <w:proofErr w:type="spellStart"/>
      <w:r>
        <w:t>Quiatchon</w:t>
      </w:r>
      <w:proofErr w:type="spellEnd"/>
      <w:r>
        <w:t xml:space="preserve"> questioned what the </w:t>
      </w:r>
      <w:r w:rsidR="005F3E5E">
        <w:t>cost of this trip</w:t>
      </w:r>
      <w:r>
        <w:t xml:space="preserve"> was when it </w:t>
      </w:r>
      <w:proofErr w:type="gramStart"/>
      <w:r>
        <w:t>was funded</w:t>
      </w:r>
      <w:proofErr w:type="gramEnd"/>
      <w:r>
        <w:t xml:space="preserve"> previously. D. Daniels stated </w:t>
      </w:r>
      <w:r w:rsidR="005F3E5E">
        <w:t xml:space="preserve">that this trip </w:t>
      </w:r>
      <w:proofErr w:type="gramStart"/>
      <w:r w:rsidR="005F3E5E">
        <w:t>was funded</w:t>
      </w:r>
      <w:proofErr w:type="gramEnd"/>
      <w:r w:rsidR="005F3E5E">
        <w:t xml:space="preserve"> </w:t>
      </w:r>
      <w:r>
        <w:t>prior to him be</w:t>
      </w:r>
      <w:r w:rsidR="00D77A25">
        <w:t xml:space="preserve">ing </w:t>
      </w:r>
      <w:r w:rsidR="00791175">
        <w:t>in the IRA committee</w:t>
      </w:r>
      <w:r w:rsidR="00D77A25">
        <w:t>.</w:t>
      </w:r>
    </w:p>
    <w:p w14:paraId="67E579B9" w14:textId="620758F1" w:rsidR="005F3E5E" w:rsidRDefault="005F3E5E" w:rsidP="00D77A25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r>
        <w:t xml:space="preserve">J. </w:t>
      </w:r>
      <w:proofErr w:type="spellStart"/>
      <w:r>
        <w:t>Quiatchon</w:t>
      </w:r>
      <w:proofErr w:type="spellEnd"/>
      <w:r>
        <w:t xml:space="preserve"> compares the </w:t>
      </w:r>
      <w:r w:rsidR="00D77A25">
        <w:t xml:space="preserve">requested funds for UNIV 392: </w:t>
      </w:r>
      <w:r>
        <w:t xml:space="preserve">Germany </w:t>
      </w:r>
      <w:r w:rsidR="00D77A25">
        <w:t>Experience</w:t>
      </w:r>
      <w:r>
        <w:t xml:space="preserve"> and </w:t>
      </w:r>
      <w:r w:rsidR="00D77A25">
        <w:t>UNIV 392: Art in Paris. V. Kumar clarified that</w:t>
      </w:r>
      <w:r>
        <w:t xml:space="preserve"> UNIV 392</w:t>
      </w:r>
      <w:r w:rsidR="00D77A25">
        <w:t>: Germany Experience</w:t>
      </w:r>
      <w:r>
        <w:t xml:space="preserve"> request</w:t>
      </w:r>
      <w:r w:rsidR="00D77A25">
        <w:t>ed</w:t>
      </w:r>
      <w:r>
        <w:t xml:space="preserve"> for less funding b</w:t>
      </w:r>
      <w:r w:rsidR="00D77A25">
        <w:t xml:space="preserve">ecause this proposal did </w:t>
      </w:r>
      <w:r>
        <w:t>not include all expenses</w:t>
      </w:r>
      <w:r w:rsidR="00D77A25">
        <w:t xml:space="preserve"> as opposed to UNIV 392: Art in Paris</w:t>
      </w:r>
      <w:r w:rsidR="00CE50AD">
        <w:t>,</w:t>
      </w:r>
      <w:r w:rsidR="00D77A25">
        <w:t xml:space="preserve"> which included all expenses.</w:t>
      </w:r>
      <w:r>
        <w:t xml:space="preserve"> </w:t>
      </w:r>
    </w:p>
    <w:p w14:paraId="4167192A" w14:textId="0286C4E8" w:rsidR="005F3E5E" w:rsidRDefault="00791175" w:rsidP="00CE50AD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r>
        <w:t xml:space="preserve">J. </w:t>
      </w:r>
      <w:proofErr w:type="spellStart"/>
      <w:r>
        <w:t>Quiatchon</w:t>
      </w:r>
      <w:proofErr w:type="spellEnd"/>
      <w:r>
        <w:t xml:space="preserve"> </w:t>
      </w:r>
      <w:r w:rsidR="00D77A25">
        <w:t>expressed</w:t>
      </w:r>
      <w:r>
        <w:t xml:space="preserve"> his</w:t>
      </w:r>
      <w:r w:rsidR="00CE50AD">
        <w:t xml:space="preserve"> </w:t>
      </w:r>
      <w:r w:rsidR="005F3E5E">
        <w:t>concern</w:t>
      </w:r>
      <w:r w:rsidR="00D77A25">
        <w:t>s</w:t>
      </w:r>
      <w:r w:rsidR="00CE50AD">
        <w:t xml:space="preserve"> regarding the large funds requested for this trip an</w:t>
      </w:r>
      <w:r>
        <w:t>d was</w:t>
      </w:r>
      <w:r w:rsidR="00CE50AD">
        <w:t xml:space="preserve"> not sure this benefits the most students.</w:t>
      </w:r>
      <w:r w:rsidR="005F3E5E">
        <w:t xml:space="preserve"> </w:t>
      </w:r>
    </w:p>
    <w:p w14:paraId="4DFFE415" w14:textId="1861ED9A" w:rsidR="00CF37C5" w:rsidRDefault="00CF37C5" w:rsidP="00CF37C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IRA #: UNIV 392: Costa Rica </w:t>
      </w:r>
    </w:p>
    <w:p w14:paraId="2C37870D" w14:textId="788B3F67" w:rsidR="005F3E5E" w:rsidRDefault="00CF37C5" w:rsidP="00CF37C5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L. Landry suggested deferring</w:t>
      </w:r>
      <w:r w:rsidR="005F3E5E">
        <w:t xml:space="preserve"> </w:t>
      </w:r>
      <w:r>
        <w:t>the Costa Rica trip. L. Landry also stated that with the amount of proposals received, a</w:t>
      </w:r>
      <w:r w:rsidR="00CD04C0">
        <w:t xml:space="preserve"> response </w:t>
      </w:r>
      <w:r w:rsidR="0055464D">
        <w:t>for this trip</w:t>
      </w:r>
      <w:r>
        <w:t xml:space="preserve"> </w:t>
      </w:r>
      <w:r w:rsidR="00943C54">
        <w:t>might not be available until the end of November.</w:t>
      </w:r>
    </w:p>
    <w:p w14:paraId="422243CD" w14:textId="3A5602DC" w:rsidR="0055464D" w:rsidRDefault="0055464D" w:rsidP="0055464D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L. Landry motioned to move the Costa Rica proposal to the end of the UNIV 392 list. Ranking it at the bottom of the list. S. Kelly seconded. All approved.</w:t>
      </w:r>
    </w:p>
    <w:p w14:paraId="4C2BF77D" w14:textId="38C28DE9" w:rsidR="00E10841" w:rsidRDefault="00E10841" w:rsidP="00E1084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 1124: Exploring Swarm Robotics to Mars and Beyond (COMP 470)</w:t>
      </w:r>
    </w:p>
    <w:p w14:paraId="1660FD57" w14:textId="15E969EF" w:rsidR="00460D75" w:rsidRDefault="00460D75" w:rsidP="00460D75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 xml:space="preserve">V. Kumar mentioned this event occurs during finals week. V. Kumar asked for clarification if students do not attend this trip does the money come back to the IRA </w:t>
      </w:r>
      <w:proofErr w:type="gramStart"/>
      <w:r>
        <w:t>funds?</w:t>
      </w:r>
      <w:proofErr w:type="gramEnd"/>
      <w:r>
        <w:t xml:space="preserve"> S. Kelly stated that these types of trips typically have all students attend</w:t>
      </w:r>
      <w:r w:rsidR="009F33F9">
        <w:t xml:space="preserve"> the</w:t>
      </w:r>
      <w:r>
        <w:t xml:space="preserve"> trip. S. Kelly also mentioned that students are aware when enrolling into such courses. </w:t>
      </w:r>
    </w:p>
    <w:p w14:paraId="1ACAF3D2" w14:textId="6FA1C5F8" w:rsidR="00E10841" w:rsidRDefault="00460D75" w:rsidP="00460D75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 xml:space="preserve">S. Kelly stated that </w:t>
      </w:r>
      <w:r w:rsidR="00791175">
        <w:t xml:space="preserve">some revenue goes back to </w:t>
      </w:r>
      <w:proofErr w:type="gramStart"/>
      <w:r w:rsidR="00791175">
        <w:t>programs which</w:t>
      </w:r>
      <w:proofErr w:type="gramEnd"/>
      <w:r w:rsidR="00791175">
        <w:t xml:space="preserve"> are essentially</w:t>
      </w:r>
      <w:r>
        <w:t xml:space="preserve"> kickbacks</w:t>
      </w:r>
      <w:r w:rsidR="00791175">
        <w:t xml:space="preserve"> from CERF funds</w:t>
      </w:r>
      <w:r>
        <w:t xml:space="preserve">. Kickbacks </w:t>
      </w:r>
      <w:proofErr w:type="gramStart"/>
      <w:r>
        <w:t>a</w:t>
      </w:r>
      <w:r w:rsidR="00791175">
        <w:t>re essentially refunded</w:t>
      </w:r>
      <w:proofErr w:type="gramEnd"/>
      <w:r w:rsidR="00791175">
        <w:t xml:space="preserve"> money, for example, i</w:t>
      </w:r>
      <w:r>
        <w:t xml:space="preserve">f students fail </w:t>
      </w:r>
      <w:r w:rsidR="004B1C72">
        <w:t>classes,</w:t>
      </w:r>
      <w:r>
        <w:t xml:space="preserve"> the department will receive a refund. </w:t>
      </w:r>
    </w:p>
    <w:p w14:paraId="35352A8B" w14:textId="0E6BABA0" w:rsidR="00460D75" w:rsidRDefault="00460D75" w:rsidP="00460D7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 1098: Arts Under the Stars 2019</w:t>
      </w:r>
    </w:p>
    <w:p w14:paraId="4045745E" w14:textId="1A68029F" w:rsidR="00460D75" w:rsidRDefault="00460D75" w:rsidP="00460D75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 xml:space="preserve">V. Kumar mentioned the revised Arts </w:t>
      </w:r>
      <w:proofErr w:type="gramStart"/>
      <w:r>
        <w:t>Under</w:t>
      </w:r>
      <w:proofErr w:type="gramEnd"/>
      <w:r>
        <w:t xml:space="preserve"> the Stars budget has been implemented into the IRA fund. V. </w:t>
      </w:r>
      <w:r>
        <w:lastRenderedPageBreak/>
        <w:t xml:space="preserve">Kumar questioned if the revised budget for Arts </w:t>
      </w:r>
      <w:proofErr w:type="gramStart"/>
      <w:r>
        <w:t>Under</w:t>
      </w:r>
      <w:proofErr w:type="gramEnd"/>
      <w:r>
        <w:t xml:space="preserve"> the Stars has significantly reduced the IRA funding amount?</w:t>
      </w:r>
    </w:p>
    <w:p w14:paraId="1567EFC8" w14:textId="3E44BA5C" w:rsidR="00460D75" w:rsidRDefault="00460D75" w:rsidP="00460D75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 xml:space="preserve">V. Kumar requested an update regarding resolving parking for Arts </w:t>
      </w:r>
      <w:proofErr w:type="gramStart"/>
      <w:r>
        <w:t>Under</w:t>
      </w:r>
      <w:proofErr w:type="gramEnd"/>
      <w:r>
        <w:t xml:space="preserve"> the Stars (AUTS). A. Skinner suggested Advancement possibly adding to their donation contribution.</w:t>
      </w:r>
    </w:p>
    <w:p w14:paraId="0B158AF2" w14:textId="4615EFEF" w:rsidR="0055464D" w:rsidRDefault="0055464D" w:rsidP="0055464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UNIV 392 courses</w:t>
      </w:r>
    </w:p>
    <w:p w14:paraId="69E736B2" w14:textId="7A64BA85" w:rsidR="0055464D" w:rsidRDefault="003E583C" w:rsidP="0055464D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Discuss</w:t>
      </w:r>
      <w:r w:rsidR="0055464D">
        <w:t>ion regarding UNIV 392 trips:</w:t>
      </w:r>
    </w:p>
    <w:p w14:paraId="0C81D573" w14:textId="31036284" w:rsidR="00CD04C0" w:rsidRDefault="0055464D" w:rsidP="0055464D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proofErr w:type="gramStart"/>
      <w:r>
        <w:t>S. Kelly suggested taking</w:t>
      </w:r>
      <w:r w:rsidR="00CD04C0">
        <w:t xml:space="preserve"> all</w:t>
      </w:r>
      <w:r>
        <w:t xml:space="preserve"> of the UNIV 392 courses and request</w:t>
      </w:r>
      <w:r w:rsidR="00CD04C0">
        <w:t xml:space="preserve"> the CIA to rank order these tri</w:t>
      </w:r>
      <w:r>
        <w:t>ps.</w:t>
      </w:r>
      <w:proofErr w:type="gramEnd"/>
      <w:r>
        <w:t xml:space="preserve"> L. Landry agreed</w:t>
      </w:r>
      <w:r w:rsidR="00CD04C0">
        <w:t xml:space="preserve"> with S. Kelly.</w:t>
      </w:r>
    </w:p>
    <w:p w14:paraId="41F7F86C" w14:textId="4A759A46" w:rsidR="00AF62B9" w:rsidRDefault="00CD04C0" w:rsidP="00AF62B9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bookmarkStart w:id="0" w:name="_GoBack"/>
      <w:bookmarkEnd w:id="0"/>
      <w:r>
        <w:t>A. Skinner stated that not</w:t>
      </w:r>
      <w:r w:rsidR="003E583C">
        <w:t xml:space="preserve"> fully</w:t>
      </w:r>
      <w:r>
        <w:t xml:space="preserve"> funding </w:t>
      </w:r>
      <w:r w:rsidR="003E583C">
        <w:t>proposal</w:t>
      </w:r>
      <w:r w:rsidR="002D177E">
        <w:t>s</w:t>
      </w:r>
      <w:r w:rsidR="003E583C">
        <w:t xml:space="preserve"> </w:t>
      </w:r>
      <w:proofErr w:type="gramStart"/>
      <w:r>
        <w:t>can</w:t>
      </w:r>
      <w:proofErr w:type="gramEnd"/>
      <w:r>
        <w:t xml:space="preserve"> lead to students creating creative ways </w:t>
      </w:r>
      <w:r w:rsidR="0055464D">
        <w:t xml:space="preserve">to fund for their trips. L. Landry shared her experience when taking </w:t>
      </w:r>
      <w:r w:rsidR="003E583C">
        <w:t>students on UNIV 392 trips, s</w:t>
      </w:r>
      <w:r w:rsidR="0055464D">
        <w:t>tudents L. Landry</w:t>
      </w:r>
      <w:r>
        <w:t xml:space="preserve"> has taken to trips prior have created ways to fund for their trips.</w:t>
      </w:r>
    </w:p>
    <w:p w14:paraId="615EE3C7" w14:textId="6B3376DA" w:rsidR="00221D17" w:rsidRDefault="00221D17" w:rsidP="00E10841">
      <w:pPr>
        <w:pStyle w:val="BodyText"/>
        <w:numPr>
          <w:ilvl w:val="4"/>
          <w:numId w:val="2"/>
        </w:numPr>
        <w:tabs>
          <w:tab w:val="left" w:pos="1220"/>
        </w:tabs>
        <w:spacing w:line="256" w:lineRule="auto"/>
        <w:ind w:right="214"/>
      </w:pPr>
      <w:r>
        <w:t xml:space="preserve">J. </w:t>
      </w:r>
      <w:proofErr w:type="spellStart"/>
      <w:r>
        <w:t>Quiatchon</w:t>
      </w:r>
      <w:proofErr w:type="spellEnd"/>
      <w:r>
        <w:t xml:space="preserve"> suggested possibly requesting proposal sponsors to move their proposal requests to another </w:t>
      </w:r>
      <w:proofErr w:type="gramStart"/>
      <w:r>
        <w:t>time frame</w:t>
      </w:r>
      <w:proofErr w:type="gramEnd"/>
      <w:r>
        <w:t xml:space="preserve">. The IRA committee received more than average requests for UNIV 392 funds. This constricts the IRA budget. J. </w:t>
      </w:r>
      <w:proofErr w:type="spellStart"/>
      <w:r>
        <w:t>Quiatchon</w:t>
      </w:r>
      <w:proofErr w:type="spellEnd"/>
      <w:r>
        <w:t xml:space="preserve"> suggested this could possibly give more funding to grant to proposals if they </w:t>
      </w:r>
      <w:proofErr w:type="gramStart"/>
      <w:r>
        <w:t>are moved</w:t>
      </w:r>
      <w:proofErr w:type="gramEnd"/>
      <w:r>
        <w:t xml:space="preserve"> to another semester. V. Kumar mentioned from H. </w:t>
      </w:r>
      <w:proofErr w:type="gramStart"/>
      <w:r>
        <w:t>Castillo’</w:t>
      </w:r>
      <w:r w:rsidR="009F33F9">
        <w:t>s</w:t>
      </w:r>
      <w:proofErr w:type="gramEnd"/>
      <w:r w:rsidR="009F33F9">
        <w:t xml:space="preserve"> Question and A</w:t>
      </w:r>
      <w:r>
        <w:t>nswer</w:t>
      </w:r>
      <w:r w:rsidR="00E10841">
        <w:t xml:space="preserve"> a few meeting</w:t>
      </w:r>
      <w:r w:rsidR="009F33F9">
        <w:t>s</w:t>
      </w:r>
      <w:r w:rsidR="00E10841">
        <w:t xml:space="preserve"> ago,</w:t>
      </w:r>
      <w:r>
        <w:t xml:space="preserve"> that switching course trips and or schedule</w:t>
      </w:r>
      <w:r w:rsidR="00E10841">
        <w:t>s</w:t>
      </w:r>
      <w:r>
        <w:t xml:space="preserve"> i</w:t>
      </w:r>
      <w:r w:rsidR="009F33F9">
        <w:t>s complex</w:t>
      </w:r>
      <w:r>
        <w:t xml:space="preserve"> and has many conflicts.</w:t>
      </w:r>
    </w:p>
    <w:p w14:paraId="40F9B387" w14:textId="59B2A1CD" w:rsidR="003E583C" w:rsidRDefault="00AF62B9" w:rsidP="00AF62B9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Suggested M</w:t>
      </w:r>
      <w:r w:rsidR="00CD04C0">
        <w:t>otion</w:t>
      </w:r>
      <w:r w:rsidR="003E583C">
        <w:t>:</w:t>
      </w:r>
    </w:p>
    <w:p w14:paraId="1AD8BB31" w14:textId="77777777" w:rsidR="008056F5" w:rsidRDefault="003E583C" w:rsidP="008056F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F62B9">
        <w:t>S. Kelly suggested</w:t>
      </w:r>
      <w:r w:rsidR="008056F5">
        <w:t xml:space="preserve"> a motion to </w:t>
      </w:r>
      <w:r w:rsidR="008056F5" w:rsidRPr="008056F5">
        <w:t xml:space="preserve">Grant $50,284 to Student Research for student travel to attend conferences and to fund other student research-related travel. </w:t>
      </w:r>
    </w:p>
    <w:p w14:paraId="7989A6D8" w14:textId="77777777" w:rsidR="008056F5" w:rsidRDefault="008056F5" w:rsidP="008056F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S. Kelly provided more detail on this motion:</w:t>
      </w:r>
    </w:p>
    <w:p w14:paraId="16456549" w14:textId="30D2984B" w:rsidR="008056F5" w:rsidRPr="008056F5" w:rsidRDefault="008056F5" w:rsidP="008056F5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 w:rsidRPr="008056F5">
        <w:rPr>
          <w:rFonts w:cs="Arial"/>
        </w:rPr>
        <w:t xml:space="preserve">These funds are earmarked for the following </w:t>
      </w:r>
      <w:proofErr w:type="spellStart"/>
      <w:r w:rsidRPr="008056F5">
        <w:rPr>
          <w:rFonts w:cs="Arial"/>
        </w:rPr>
        <w:t>trips</w:t>
      </w:r>
      <w:proofErr w:type="spellEnd"/>
      <w:r w:rsidRPr="008056F5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2"/>
        <w:gridCol w:w="2583"/>
        <w:gridCol w:w="2583"/>
      </w:tblGrid>
      <w:tr w:rsidR="008056F5" w14:paraId="1A89C329" w14:textId="77777777" w:rsidTr="008056F5">
        <w:tc>
          <w:tcPr>
            <w:tcW w:w="2582" w:type="dxa"/>
          </w:tcPr>
          <w:p w14:paraId="2821AD91" w14:textId="4F45B16F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IRA #</w:t>
            </w:r>
          </w:p>
        </w:tc>
        <w:tc>
          <w:tcPr>
            <w:tcW w:w="2582" w:type="dxa"/>
          </w:tcPr>
          <w:p w14:paraId="2F0C5756" w14:textId="3FB4C8A4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IRA Proposal</w:t>
            </w:r>
          </w:p>
        </w:tc>
        <w:tc>
          <w:tcPr>
            <w:tcW w:w="2583" w:type="dxa"/>
          </w:tcPr>
          <w:p w14:paraId="077F58E9" w14:textId="0065C801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Proposal Sponsor</w:t>
            </w:r>
          </w:p>
        </w:tc>
        <w:tc>
          <w:tcPr>
            <w:tcW w:w="2583" w:type="dxa"/>
          </w:tcPr>
          <w:p w14:paraId="3B828DE1" w14:textId="5BB68C67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Requested Funds</w:t>
            </w:r>
          </w:p>
        </w:tc>
      </w:tr>
      <w:tr w:rsidR="008056F5" w14:paraId="64BD5048" w14:textId="77777777" w:rsidTr="008056F5">
        <w:tc>
          <w:tcPr>
            <w:tcW w:w="2582" w:type="dxa"/>
          </w:tcPr>
          <w:p w14:paraId="3210CE3E" w14:textId="7D5D0DC9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1130</w:t>
            </w:r>
          </w:p>
        </w:tc>
        <w:tc>
          <w:tcPr>
            <w:tcW w:w="2582" w:type="dxa"/>
          </w:tcPr>
          <w:p w14:paraId="49C4EBE7" w14:textId="20EBD013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Attend Grace Hopper Celebration of Women in Computing Conference</w:t>
            </w:r>
          </w:p>
        </w:tc>
        <w:tc>
          <w:tcPr>
            <w:tcW w:w="2583" w:type="dxa"/>
          </w:tcPr>
          <w:p w14:paraId="229ACC6B" w14:textId="0FCB6D1E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Jason Isaacs</w:t>
            </w:r>
          </w:p>
        </w:tc>
        <w:tc>
          <w:tcPr>
            <w:tcW w:w="2583" w:type="dxa"/>
          </w:tcPr>
          <w:p w14:paraId="27A0F3FF" w14:textId="398707C8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$11,210</w:t>
            </w:r>
          </w:p>
        </w:tc>
      </w:tr>
      <w:tr w:rsidR="008056F5" w14:paraId="757671EE" w14:textId="77777777" w:rsidTr="008056F5">
        <w:tc>
          <w:tcPr>
            <w:tcW w:w="2582" w:type="dxa"/>
          </w:tcPr>
          <w:p w14:paraId="4DBDC168" w14:textId="198374AC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1108</w:t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82" w:type="dxa"/>
          </w:tcPr>
          <w:p w14:paraId="03B1982A" w14:textId="2B5135D2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American Chemical Society Meeting in San Diego</w:t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83" w:type="dxa"/>
          </w:tcPr>
          <w:p w14:paraId="4F272D84" w14:textId="68096CDD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056F5">
              <w:rPr>
                <w:rFonts w:ascii="Arial" w:hAnsi="Arial" w:cs="Arial"/>
                <w:sz w:val="26"/>
                <w:szCs w:val="26"/>
              </w:rPr>
              <w:t>Brittnee</w:t>
            </w:r>
            <w:proofErr w:type="spellEnd"/>
            <w:r w:rsidRPr="008056F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56F5">
              <w:rPr>
                <w:rFonts w:ascii="Arial" w:hAnsi="Arial" w:cs="Arial"/>
                <w:sz w:val="26"/>
                <w:szCs w:val="26"/>
              </w:rPr>
              <w:t>Veldman</w:t>
            </w:r>
            <w:proofErr w:type="spellEnd"/>
          </w:p>
        </w:tc>
        <w:tc>
          <w:tcPr>
            <w:tcW w:w="2583" w:type="dxa"/>
          </w:tcPr>
          <w:p w14:paraId="631FACDE" w14:textId="77777777" w:rsidR="008056F5" w:rsidRP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$15,000</w:t>
            </w:r>
          </w:p>
          <w:p w14:paraId="2D0A0BE1" w14:textId="77777777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56F5" w14:paraId="5ECFE97D" w14:textId="77777777" w:rsidTr="008056F5">
        <w:tc>
          <w:tcPr>
            <w:tcW w:w="2582" w:type="dxa"/>
          </w:tcPr>
          <w:p w14:paraId="4246788D" w14:textId="433632EB" w:rsidR="008056F5" w:rsidRP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1084</w:t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14:paraId="5BFDA455" w14:textId="77777777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82" w:type="dxa"/>
          </w:tcPr>
          <w:p w14:paraId="2C9627DF" w14:textId="6DCBE974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NCECA Conference 2019</w:t>
            </w:r>
          </w:p>
        </w:tc>
        <w:tc>
          <w:tcPr>
            <w:tcW w:w="2583" w:type="dxa"/>
          </w:tcPr>
          <w:p w14:paraId="17846B6F" w14:textId="7F378D2F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Marianne McGrath</w:t>
            </w:r>
          </w:p>
        </w:tc>
        <w:tc>
          <w:tcPr>
            <w:tcW w:w="2583" w:type="dxa"/>
          </w:tcPr>
          <w:p w14:paraId="4E1A377F" w14:textId="3CE8E7CC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$9,112</w:t>
            </w:r>
          </w:p>
        </w:tc>
      </w:tr>
      <w:tr w:rsidR="008056F5" w14:paraId="30B7A5B3" w14:textId="77777777" w:rsidTr="008056F5">
        <w:tc>
          <w:tcPr>
            <w:tcW w:w="2582" w:type="dxa"/>
          </w:tcPr>
          <w:p w14:paraId="693D3EE4" w14:textId="1482CAA3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1109</w:t>
            </w:r>
          </w:p>
        </w:tc>
        <w:tc>
          <w:tcPr>
            <w:tcW w:w="2582" w:type="dxa"/>
          </w:tcPr>
          <w:p w14:paraId="6DA2B2E7" w14:textId="7FC30EC2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 xml:space="preserve">CSU Health </w:t>
            </w:r>
            <w:r>
              <w:rPr>
                <w:rFonts w:ascii="Arial" w:hAnsi="Arial" w:cs="Arial"/>
                <w:sz w:val="26"/>
                <w:szCs w:val="26"/>
              </w:rPr>
              <w:t>Policy Conference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83" w:type="dxa"/>
          </w:tcPr>
          <w:p w14:paraId="15B62E59" w14:textId="235D5FA5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William Wagner</w:t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83" w:type="dxa"/>
          </w:tcPr>
          <w:p w14:paraId="1E3D151F" w14:textId="77777777" w:rsidR="008056F5" w:rsidRP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$1,250</w:t>
            </w:r>
          </w:p>
          <w:p w14:paraId="091CCB80" w14:textId="77777777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56F5" w14:paraId="06AA0BB6" w14:textId="77777777" w:rsidTr="008056F5">
        <w:tc>
          <w:tcPr>
            <w:tcW w:w="2582" w:type="dxa"/>
          </w:tcPr>
          <w:p w14:paraId="105C8059" w14:textId="56B8A983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1122</w:t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  <w:r w:rsidRPr="008056F5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82" w:type="dxa"/>
          </w:tcPr>
          <w:p w14:paraId="47B49246" w14:textId="1D6D9293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Twenty-sixth International Conference on Learning</w:t>
            </w:r>
          </w:p>
        </w:tc>
        <w:tc>
          <w:tcPr>
            <w:tcW w:w="2583" w:type="dxa"/>
          </w:tcPr>
          <w:p w14:paraId="755C6D41" w14:textId="556720F4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Annie White</w:t>
            </w:r>
          </w:p>
        </w:tc>
        <w:tc>
          <w:tcPr>
            <w:tcW w:w="2583" w:type="dxa"/>
          </w:tcPr>
          <w:p w14:paraId="054BF51D" w14:textId="77777777" w:rsidR="008056F5" w:rsidRP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8056F5">
              <w:rPr>
                <w:rFonts w:ascii="Arial" w:hAnsi="Arial" w:cs="Arial"/>
                <w:sz w:val="26"/>
                <w:szCs w:val="26"/>
              </w:rPr>
              <w:t>$7,490*</w:t>
            </w:r>
          </w:p>
          <w:p w14:paraId="75D8510B" w14:textId="77777777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56F5" w14:paraId="2D41E3F2" w14:textId="77777777" w:rsidTr="008056F5">
        <w:tc>
          <w:tcPr>
            <w:tcW w:w="2582" w:type="dxa"/>
          </w:tcPr>
          <w:p w14:paraId="23913CE1" w14:textId="4C7694E3" w:rsidR="006F4A19" w:rsidRPr="006F4A19" w:rsidRDefault="006F4A19" w:rsidP="006F4A19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6F4A19">
              <w:rPr>
                <w:rFonts w:ascii="Arial" w:hAnsi="Arial" w:cs="Arial"/>
                <w:sz w:val="26"/>
                <w:szCs w:val="26"/>
              </w:rPr>
              <w:t>1121</w:t>
            </w:r>
            <w:r w:rsidRPr="006F4A19">
              <w:rPr>
                <w:rFonts w:ascii="Arial" w:hAnsi="Arial" w:cs="Arial"/>
                <w:sz w:val="26"/>
                <w:szCs w:val="26"/>
              </w:rPr>
              <w:tab/>
            </w:r>
            <w:r w:rsidRPr="006F4A19"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14:paraId="448FEA35" w14:textId="36325206" w:rsidR="008056F5" w:rsidRDefault="006F4A19" w:rsidP="006F4A19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6F4A19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82" w:type="dxa"/>
          </w:tcPr>
          <w:p w14:paraId="6018C9B8" w14:textId="135DCA39" w:rsidR="008056F5" w:rsidRDefault="006F4A19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6F4A19">
              <w:rPr>
                <w:rFonts w:ascii="Arial" w:hAnsi="Arial" w:cs="Arial"/>
                <w:sz w:val="26"/>
                <w:szCs w:val="26"/>
              </w:rPr>
              <w:t>National Learning Stories Conference</w:t>
            </w:r>
          </w:p>
        </w:tc>
        <w:tc>
          <w:tcPr>
            <w:tcW w:w="2583" w:type="dxa"/>
          </w:tcPr>
          <w:p w14:paraId="31FF8936" w14:textId="4FE32653" w:rsidR="008056F5" w:rsidRDefault="006F4A19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6F4A19">
              <w:rPr>
                <w:rFonts w:ascii="Arial" w:hAnsi="Arial" w:cs="Arial"/>
                <w:sz w:val="26"/>
                <w:szCs w:val="26"/>
              </w:rPr>
              <w:t>Annie White</w:t>
            </w:r>
          </w:p>
        </w:tc>
        <w:tc>
          <w:tcPr>
            <w:tcW w:w="2583" w:type="dxa"/>
          </w:tcPr>
          <w:p w14:paraId="438189B8" w14:textId="77777777" w:rsidR="006F4A19" w:rsidRPr="006F4A19" w:rsidRDefault="006F4A19" w:rsidP="006F4A19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  <w:r w:rsidRPr="006F4A19">
              <w:rPr>
                <w:rFonts w:ascii="Arial" w:hAnsi="Arial" w:cs="Arial"/>
                <w:sz w:val="26"/>
                <w:szCs w:val="26"/>
              </w:rPr>
              <w:t>$6,222</w:t>
            </w:r>
          </w:p>
          <w:p w14:paraId="333FAFA4" w14:textId="77777777" w:rsidR="008056F5" w:rsidRDefault="008056F5" w:rsidP="008056F5">
            <w:pPr>
              <w:tabs>
                <w:tab w:val="left" w:pos="72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C96C426" w14:textId="77777777" w:rsidR="006F4A19" w:rsidRPr="006F4A19" w:rsidRDefault="006F4A19" w:rsidP="006F4A19">
      <w:pPr>
        <w:pStyle w:val="ListParagraph"/>
        <w:numPr>
          <w:ilvl w:val="3"/>
          <w:numId w:val="2"/>
        </w:num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6F4A19">
        <w:rPr>
          <w:rFonts w:ascii="Arial" w:hAnsi="Arial" w:cs="Arial"/>
          <w:sz w:val="26"/>
          <w:szCs w:val="26"/>
        </w:rPr>
        <w:t xml:space="preserve">Any unexpended funds </w:t>
      </w:r>
      <w:proofErr w:type="gramStart"/>
      <w:r w:rsidRPr="006F4A19">
        <w:rPr>
          <w:rFonts w:ascii="Arial" w:hAnsi="Arial" w:cs="Arial"/>
          <w:sz w:val="26"/>
          <w:szCs w:val="26"/>
        </w:rPr>
        <w:t>shall be made</w:t>
      </w:r>
      <w:proofErr w:type="gramEnd"/>
      <w:r w:rsidRPr="006F4A19">
        <w:rPr>
          <w:rFonts w:ascii="Arial" w:hAnsi="Arial" w:cs="Arial"/>
          <w:sz w:val="26"/>
          <w:szCs w:val="26"/>
        </w:rPr>
        <w:t xml:space="preserve"> available for students traveling to attend conferences and to fund other student research related travel.</w:t>
      </w:r>
    </w:p>
    <w:p w14:paraId="59B5AB62" w14:textId="77777777" w:rsidR="006F4A19" w:rsidRPr="006F4A19" w:rsidRDefault="006F4A19" w:rsidP="006F4A19">
      <w:pPr>
        <w:pStyle w:val="ListParagraph"/>
        <w:numPr>
          <w:ilvl w:val="3"/>
          <w:numId w:val="2"/>
        </w:num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6F4A19">
        <w:rPr>
          <w:rFonts w:ascii="Arial" w:hAnsi="Arial" w:cs="Arial"/>
          <w:sz w:val="26"/>
          <w:szCs w:val="26"/>
        </w:rPr>
        <w:t>* Only 1 student eligible; recommend RSCA mini-grant</w:t>
      </w:r>
    </w:p>
    <w:p w14:paraId="429CE9DD" w14:textId="5C354461" w:rsidR="006F4A19" w:rsidRPr="006F4A19" w:rsidRDefault="006F4A19" w:rsidP="006F4A19">
      <w:pPr>
        <w:pStyle w:val="ListParagraph"/>
        <w:numPr>
          <w:ilvl w:val="3"/>
          <w:numId w:val="2"/>
        </w:num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6F4A19">
        <w:rPr>
          <w:rFonts w:ascii="Arial" w:hAnsi="Arial" w:cs="Arial"/>
          <w:sz w:val="26"/>
          <w:szCs w:val="26"/>
        </w:rPr>
        <w:t xml:space="preserve">Purpose: Student Research has extensive experience working with students attending conferences. By bundling these </w:t>
      </w:r>
      <w:r w:rsidR="004B1C72" w:rsidRPr="006F4A19">
        <w:rPr>
          <w:rFonts w:ascii="Arial" w:hAnsi="Arial" w:cs="Arial"/>
          <w:sz w:val="26"/>
          <w:szCs w:val="26"/>
        </w:rPr>
        <w:t>requests,</w:t>
      </w:r>
      <w:r w:rsidRPr="006F4A19">
        <w:rPr>
          <w:rFonts w:ascii="Arial" w:hAnsi="Arial" w:cs="Arial"/>
          <w:sz w:val="26"/>
          <w:szCs w:val="26"/>
        </w:rPr>
        <w:t xml:space="preserve"> we can take advantage of existing experience and bundle funding in a way that reflects the “real cost” of student research travel.</w:t>
      </w:r>
    </w:p>
    <w:p w14:paraId="23F92960" w14:textId="5A94744A" w:rsidR="008056F5" w:rsidRPr="006F4A19" w:rsidRDefault="006F4A19" w:rsidP="006F4A19">
      <w:pPr>
        <w:pStyle w:val="ListParagraph"/>
        <w:numPr>
          <w:ilvl w:val="3"/>
          <w:numId w:val="2"/>
        </w:num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6F4A19">
        <w:rPr>
          <w:rFonts w:ascii="Arial" w:hAnsi="Arial" w:cs="Arial"/>
          <w:sz w:val="26"/>
          <w:szCs w:val="26"/>
        </w:rPr>
        <w:t xml:space="preserve">In the </w:t>
      </w:r>
      <w:proofErr w:type="gramStart"/>
      <w:r w:rsidRPr="006F4A19">
        <w:rPr>
          <w:rFonts w:ascii="Arial" w:hAnsi="Arial" w:cs="Arial"/>
          <w:sz w:val="26"/>
          <w:szCs w:val="26"/>
        </w:rPr>
        <w:t>future</w:t>
      </w:r>
      <w:proofErr w:type="gramEnd"/>
      <w:r w:rsidRPr="006F4A19">
        <w:rPr>
          <w:rFonts w:ascii="Arial" w:hAnsi="Arial" w:cs="Arial"/>
          <w:sz w:val="26"/>
          <w:szCs w:val="26"/>
        </w:rPr>
        <w:t xml:space="preserve"> we should encourage faculty to funnel these requests through Student Research so that a single funding request can be made on behalf of all students.</w:t>
      </w:r>
    </w:p>
    <w:p w14:paraId="62527A43" w14:textId="26860DDE" w:rsidR="00CD04C0" w:rsidRDefault="00CD04C0" w:rsidP="003E583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L. Landry seconded</w:t>
      </w:r>
      <w:r w:rsidR="002D2250">
        <w:t xml:space="preserve"> S. </w:t>
      </w:r>
      <w:r w:rsidR="004B1C72">
        <w:t>Kelly’s</w:t>
      </w:r>
      <w:r w:rsidR="008056F5">
        <w:t xml:space="preserve"> motion</w:t>
      </w:r>
      <w:r>
        <w:t>. All approved</w:t>
      </w:r>
      <w:r w:rsidR="008056F5">
        <w:t>.</w:t>
      </w:r>
    </w:p>
    <w:p w14:paraId="6DAE4332" w14:textId="77777777" w:rsidR="00460D75" w:rsidRDefault="00460D75" w:rsidP="00460D75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5A676FE4" w14:textId="67514E61" w:rsidR="00AA1F22" w:rsidRDefault="00AA1F2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Presentation by </w:t>
      </w:r>
      <w:r w:rsidR="005954AC">
        <w:t>Liz King</w:t>
      </w:r>
      <w:r>
        <w:t>, faculty spon</w:t>
      </w:r>
      <w:r w:rsidR="005954AC">
        <w:t>sor of UNIV 392 Art in Paris</w:t>
      </w:r>
    </w:p>
    <w:p w14:paraId="5B545728" w14:textId="70BB3CA2" w:rsidR="000C345A" w:rsidRDefault="00DB25B7" w:rsidP="000C345A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D. Daniels notified the IRA committee regarding</w:t>
      </w:r>
      <w:r w:rsidR="000C345A">
        <w:t xml:space="preserve"> </w:t>
      </w:r>
      <w:r>
        <w:t xml:space="preserve">an </w:t>
      </w:r>
      <w:r w:rsidR="009C66C2">
        <w:t>update that Liz King could not</w:t>
      </w:r>
      <w:r w:rsidR="000C345A">
        <w:t xml:space="preserve"> attend for the presentation regarding UNIV 392 Art in Paris. </w:t>
      </w:r>
    </w:p>
    <w:p w14:paraId="798CFA47" w14:textId="0F0BB7C3" w:rsidR="002726B5" w:rsidRDefault="00AA1F22" w:rsidP="00DB25B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Concluding discussion and voting on </w:t>
      </w:r>
      <w:r w:rsidR="00A06952">
        <w:t>Cat-III proposals</w:t>
      </w:r>
    </w:p>
    <w:p w14:paraId="4F955E06" w14:textId="10578B58" w:rsidR="00DB25B7" w:rsidRDefault="00DB25B7" w:rsidP="00DB25B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Voting for Cat-III proposals will be deferred to next </w:t>
      </w:r>
      <w:proofErr w:type="spellStart"/>
      <w:r>
        <w:t>weeks</w:t>
      </w:r>
      <w:proofErr w:type="spellEnd"/>
      <w:r>
        <w:t xml:space="preserve"> </w:t>
      </w:r>
      <w:r w:rsidR="008E79C7">
        <w:t>meeting on November 14</w:t>
      </w:r>
      <w:r w:rsidR="008E79C7" w:rsidRPr="008E79C7">
        <w:rPr>
          <w:vertAlign w:val="superscript"/>
        </w:rPr>
        <w:t>th</w:t>
      </w:r>
      <w:r w:rsidR="008E79C7">
        <w:t>, 2018</w:t>
      </w:r>
    </w:p>
    <w:p w14:paraId="5F586ADC" w14:textId="37F952CC" w:rsidR="007A64AF" w:rsidRDefault="007A64AF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2EA3340" w14:textId="77777777" w:rsidR="00D911FD" w:rsidRDefault="00D911FD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3466177" w14:textId="5920E77D" w:rsidR="00D911FD" w:rsidRDefault="005954AC" w:rsidP="00D911FD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Discussion and review of Cat-II</w:t>
      </w:r>
      <w:r w:rsidR="00D911FD">
        <w:t xml:space="preserve"> Proposals</w:t>
      </w:r>
    </w:p>
    <w:p w14:paraId="1E574971" w14:textId="6D830774" w:rsidR="00556618" w:rsidRDefault="005B448B" w:rsidP="004B1C7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Discussion on </w:t>
      </w:r>
      <w:r w:rsidR="006F4A19">
        <w:t xml:space="preserve">Cat-II proposals will be deferred </w:t>
      </w:r>
      <w:r>
        <w:t xml:space="preserve">to </w:t>
      </w:r>
      <w:r w:rsidR="008E79C7">
        <w:t>meeting on November 20</w:t>
      </w:r>
      <w:r w:rsidR="008E79C7" w:rsidRPr="008E79C7">
        <w:rPr>
          <w:vertAlign w:val="superscript"/>
        </w:rPr>
        <w:t>th</w:t>
      </w:r>
      <w:r w:rsidR="008E79C7">
        <w:t>, 2018</w:t>
      </w:r>
    </w:p>
    <w:p w14:paraId="76F36BC0" w14:textId="77777777" w:rsidR="00D911FD" w:rsidRPr="00791634" w:rsidRDefault="00D911FD" w:rsidP="00D911FD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7C65078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76EECBCE" w14:textId="517ABEA6" w:rsidR="006204EF" w:rsidRDefault="006204EF" w:rsidP="006204EF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D. Daniels will update</w:t>
      </w:r>
      <w:r w:rsidR="00C036F6">
        <w:t xml:space="preserve"> budget</w:t>
      </w:r>
      <w:r w:rsidR="00DB25B7">
        <w:t xml:space="preserve"> by next meeting</w:t>
      </w:r>
      <w:r w:rsidR="00C036F6">
        <w:t>.</w:t>
      </w:r>
    </w:p>
    <w:p w14:paraId="37BAAD26" w14:textId="3E5C88F3" w:rsidR="002E4A82" w:rsidRDefault="002E4A82" w:rsidP="002E4A8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B. Ruiz motioned to adjourn meeting.</w:t>
      </w:r>
      <w:r w:rsidR="00C036F6">
        <w:t xml:space="preserve"> V. Kumar seconded. All approved. Meeting adjourned at 9:13am</w:t>
      </w:r>
    </w:p>
    <w:p w14:paraId="4D6B131D" w14:textId="77777777" w:rsidR="00E73EE8" w:rsidRDefault="00E73EE8" w:rsidP="00E45197">
      <w:pPr>
        <w:pStyle w:val="BodyText"/>
        <w:tabs>
          <w:tab w:val="left" w:pos="1220"/>
        </w:tabs>
        <w:spacing w:line="256" w:lineRule="auto"/>
        <w:ind w:right="214"/>
      </w:pP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D3166D54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>
      <w:start w:val="1"/>
      <w:numFmt w:val="lowerLetter"/>
      <w:lvlText w:val="%5."/>
      <w:lvlJc w:val="left"/>
      <w:pPr>
        <w:ind w:left="4460" w:hanging="360"/>
      </w:pPr>
    </w:lvl>
    <w:lvl w:ilvl="5" w:tplc="0409001B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187C7007"/>
    <w:multiLevelType w:val="hybridMultilevel"/>
    <w:tmpl w:val="3AD2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abstractNum w:abstractNumId="4" w15:restartNumberingAfterBreak="0">
    <w:nsid w:val="680B479A"/>
    <w:multiLevelType w:val="hybridMultilevel"/>
    <w:tmpl w:val="497A1E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65332F1"/>
    <w:multiLevelType w:val="hybridMultilevel"/>
    <w:tmpl w:val="2CB81EC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345A"/>
    <w:rsid w:val="000C7EAE"/>
    <w:rsid w:val="001043E5"/>
    <w:rsid w:val="00120258"/>
    <w:rsid w:val="00140D6B"/>
    <w:rsid w:val="00163B9B"/>
    <w:rsid w:val="001B509A"/>
    <w:rsid w:val="001C3836"/>
    <w:rsid w:val="001E12BB"/>
    <w:rsid w:val="00221D17"/>
    <w:rsid w:val="00230C6F"/>
    <w:rsid w:val="00261B22"/>
    <w:rsid w:val="002726B5"/>
    <w:rsid w:val="00276CEB"/>
    <w:rsid w:val="002950C2"/>
    <w:rsid w:val="002D177E"/>
    <w:rsid w:val="002D2250"/>
    <w:rsid w:val="002E1D59"/>
    <w:rsid w:val="002E2646"/>
    <w:rsid w:val="002E4A82"/>
    <w:rsid w:val="003028B4"/>
    <w:rsid w:val="00312588"/>
    <w:rsid w:val="0031545F"/>
    <w:rsid w:val="00316A64"/>
    <w:rsid w:val="00324EFE"/>
    <w:rsid w:val="00386BCC"/>
    <w:rsid w:val="00391A30"/>
    <w:rsid w:val="003C54F6"/>
    <w:rsid w:val="003E20B6"/>
    <w:rsid w:val="003E583C"/>
    <w:rsid w:val="0045504F"/>
    <w:rsid w:val="00460D75"/>
    <w:rsid w:val="004A7D08"/>
    <w:rsid w:val="004B1C72"/>
    <w:rsid w:val="004D0D6E"/>
    <w:rsid w:val="004D2198"/>
    <w:rsid w:val="004D6CA4"/>
    <w:rsid w:val="00542777"/>
    <w:rsid w:val="00551203"/>
    <w:rsid w:val="0055464D"/>
    <w:rsid w:val="00556618"/>
    <w:rsid w:val="005604D0"/>
    <w:rsid w:val="00562366"/>
    <w:rsid w:val="005734B3"/>
    <w:rsid w:val="005826BC"/>
    <w:rsid w:val="00594FF6"/>
    <w:rsid w:val="005954AC"/>
    <w:rsid w:val="005B448B"/>
    <w:rsid w:val="005F3E5E"/>
    <w:rsid w:val="0060113C"/>
    <w:rsid w:val="00620285"/>
    <w:rsid w:val="006204EF"/>
    <w:rsid w:val="00633480"/>
    <w:rsid w:val="00637F85"/>
    <w:rsid w:val="00642D83"/>
    <w:rsid w:val="00646603"/>
    <w:rsid w:val="00682925"/>
    <w:rsid w:val="006B0ECB"/>
    <w:rsid w:val="006B376D"/>
    <w:rsid w:val="006C198A"/>
    <w:rsid w:val="006D0AC1"/>
    <w:rsid w:val="006F0E7F"/>
    <w:rsid w:val="006F4A19"/>
    <w:rsid w:val="00711ABF"/>
    <w:rsid w:val="00713B59"/>
    <w:rsid w:val="007174BF"/>
    <w:rsid w:val="00741F08"/>
    <w:rsid w:val="0076659D"/>
    <w:rsid w:val="00791175"/>
    <w:rsid w:val="00791634"/>
    <w:rsid w:val="007940A6"/>
    <w:rsid w:val="007A41AB"/>
    <w:rsid w:val="007A64AF"/>
    <w:rsid w:val="007B186E"/>
    <w:rsid w:val="007C010C"/>
    <w:rsid w:val="007F3F86"/>
    <w:rsid w:val="008056F5"/>
    <w:rsid w:val="0082772B"/>
    <w:rsid w:val="00840D05"/>
    <w:rsid w:val="008443BB"/>
    <w:rsid w:val="00861E4E"/>
    <w:rsid w:val="00871C28"/>
    <w:rsid w:val="008754A2"/>
    <w:rsid w:val="0088526E"/>
    <w:rsid w:val="008B2389"/>
    <w:rsid w:val="008E79C7"/>
    <w:rsid w:val="00920D91"/>
    <w:rsid w:val="00943C54"/>
    <w:rsid w:val="00950742"/>
    <w:rsid w:val="009C66C2"/>
    <w:rsid w:val="009F33F9"/>
    <w:rsid w:val="00A06952"/>
    <w:rsid w:val="00A4019C"/>
    <w:rsid w:val="00A40418"/>
    <w:rsid w:val="00A42243"/>
    <w:rsid w:val="00A437AF"/>
    <w:rsid w:val="00A81546"/>
    <w:rsid w:val="00A82CC9"/>
    <w:rsid w:val="00AA1F22"/>
    <w:rsid w:val="00AE405D"/>
    <w:rsid w:val="00AF527B"/>
    <w:rsid w:val="00AF62B9"/>
    <w:rsid w:val="00B10D12"/>
    <w:rsid w:val="00B532EA"/>
    <w:rsid w:val="00B743B0"/>
    <w:rsid w:val="00B7673E"/>
    <w:rsid w:val="00B86F11"/>
    <w:rsid w:val="00B948DC"/>
    <w:rsid w:val="00BB1C49"/>
    <w:rsid w:val="00BF15B3"/>
    <w:rsid w:val="00C036F6"/>
    <w:rsid w:val="00C34A79"/>
    <w:rsid w:val="00C61A3E"/>
    <w:rsid w:val="00C9151F"/>
    <w:rsid w:val="00CA4AC5"/>
    <w:rsid w:val="00CB1517"/>
    <w:rsid w:val="00CB4C64"/>
    <w:rsid w:val="00CD04C0"/>
    <w:rsid w:val="00CE50AD"/>
    <w:rsid w:val="00CF1B30"/>
    <w:rsid w:val="00CF37C5"/>
    <w:rsid w:val="00D20E7A"/>
    <w:rsid w:val="00D268FD"/>
    <w:rsid w:val="00D50581"/>
    <w:rsid w:val="00D76ACE"/>
    <w:rsid w:val="00D77A25"/>
    <w:rsid w:val="00D85B03"/>
    <w:rsid w:val="00D911FD"/>
    <w:rsid w:val="00DB25B7"/>
    <w:rsid w:val="00DB3517"/>
    <w:rsid w:val="00DD505B"/>
    <w:rsid w:val="00DE0F18"/>
    <w:rsid w:val="00E024C3"/>
    <w:rsid w:val="00E10841"/>
    <w:rsid w:val="00E45197"/>
    <w:rsid w:val="00E54C36"/>
    <w:rsid w:val="00E73EE8"/>
    <w:rsid w:val="00E90D15"/>
    <w:rsid w:val="00ED5885"/>
    <w:rsid w:val="00EE5383"/>
    <w:rsid w:val="00F26044"/>
    <w:rsid w:val="00F54856"/>
    <w:rsid w:val="00F56ABF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6952"/>
    <w:rPr>
      <w:rFonts w:ascii="Arial" w:eastAsia="Arial" w:hAnsi="Arial"/>
      <w:sz w:val="26"/>
      <w:szCs w:val="26"/>
    </w:rPr>
  </w:style>
  <w:style w:type="table" w:styleId="TableGrid">
    <w:name w:val="Table Grid"/>
    <w:basedOn w:val="TableNormal"/>
    <w:uiPriority w:val="39"/>
    <w:rsid w:val="0080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33</cp:revision>
  <dcterms:created xsi:type="dcterms:W3CDTF">2018-11-06T16:23:00Z</dcterms:created>
  <dcterms:modified xsi:type="dcterms:W3CDTF">2018-11-26T22:54:00Z</dcterms:modified>
</cp:coreProperties>
</file>