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2C137217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BC5AFE">
        <w:rPr>
          <w:rFonts w:ascii="Arial" w:eastAsia="Arial" w:hAnsi="Arial" w:cs="Arial"/>
          <w:sz w:val="28"/>
          <w:szCs w:val="28"/>
        </w:rPr>
        <w:t>Minutes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0878D3">
        <w:rPr>
          <w:rFonts w:ascii="Arial" w:eastAsia="Arial" w:hAnsi="Arial" w:cs="Arial"/>
          <w:sz w:val="28"/>
          <w:szCs w:val="28"/>
        </w:rPr>
        <w:t>March</w:t>
      </w:r>
      <w:r w:rsidR="003A6758">
        <w:rPr>
          <w:rFonts w:ascii="Arial" w:eastAsia="Arial" w:hAnsi="Arial" w:cs="Arial"/>
          <w:sz w:val="28"/>
          <w:szCs w:val="28"/>
        </w:rPr>
        <w:t xml:space="preserve"> 26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2A038807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0878D3">
        <w:rPr>
          <w:rFonts w:ascii="Arial"/>
          <w:spacing w:val="-6"/>
          <w:sz w:val="24"/>
        </w:rPr>
        <w:t xml:space="preserve"> Planning and budgeting</w:t>
      </w:r>
      <w:r w:rsidR="00390096">
        <w:rPr>
          <w:rFonts w:ascii="Arial"/>
          <w:spacing w:val="-6"/>
          <w:sz w:val="24"/>
        </w:rPr>
        <w:t xml:space="preserve"> for proposal review </w:t>
      </w:r>
      <w:r w:rsidR="00A968BF">
        <w:rPr>
          <w:rFonts w:ascii="Arial"/>
          <w:spacing w:val="-6"/>
          <w:sz w:val="24"/>
        </w:rPr>
        <w:t xml:space="preserve">for Fall </w:t>
      </w:r>
      <w:r w:rsidR="00633480">
        <w:rPr>
          <w:rFonts w:ascii="Arial"/>
          <w:spacing w:val="-6"/>
          <w:sz w:val="24"/>
        </w:rPr>
        <w:t>2019</w:t>
      </w:r>
      <w:r w:rsidR="00D85B03">
        <w:rPr>
          <w:rFonts w:ascii="Arial"/>
          <w:spacing w:val="-6"/>
          <w:sz w:val="24"/>
        </w:rPr>
        <w:t xml:space="preserve"> </w:t>
      </w:r>
      <w:r w:rsidR="000878D3">
        <w:rPr>
          <w:rFonts w:ascii="Arial"/>
          <w:spacing w:val="-6"/>
          <w:sz w:val="24"/>
        </w:rPr>
        <w:t xml:space="preserve">and FY19-20 </w:t>
      </w:r>
      <w:r w:rsidR="00D85B03">
        <w:rPr>
          <w:rFonts w:ascii="Arial"/>
          <w:spacing w:val="-6"/>
          <w:sz w:val="24"/>
        </w:rPr>
        <w:t>activities</w:t>
      </w:r>
      <w:r w:rsidR="006C01B2">
        <w:rPr>
          <w:rFonts w:ascii="Arial"/>
          <w:spacing w:val="-6"/>
          <w:sz w:val="24"/>
        </w:rPr>
        <w:t xml:space="preserve">.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6FB1239C" w14:textId="77777777" w:rsidR="00CE4EA5" w:rsidRDefault="00CA3362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49B59370" w14:textId="77777777" w:rsidR="00CE4EA5" w:rsidRDefault="00CA3362" w:rsidP="00CE4EA5">
      <w:pPr>
        <w:ind w:left="135" w:firstLine="720"/>
        <w:rPr>
          <w:rFonts w:ascii="Arial" w:eastAsia="Arial" w:hAnsi="Arial" w:cs="Arial"/>
          <w:sz w:val="24"/>
          <w:szCs w:val="32"/>
        </w:rPr>
      </w:pPr>
      <w:r w:rsidRPr="00CE4EA5">
        <w:rPr>
          <w:rFonts w:ascii="Arial" w:eastAsia="Arial" w:hAnsi="Arial" w:cs="Arial"/>
          <w:sz w:val="24"/>
          <w:szCs w:val="32"/>
          <w:u w:val="single"/>
        </w:rPr>
        <w:t>Attendees</w:t>
      </w:r>
      <w:r>
        <w:rPr>
          <w:rFonts w:ascii="Arial" w:eastAsia="Arial" w:hAnsi="Arial" w:cs="Arial"/>
          <w:sz w:val="24"/>
          <w:szCs w:val="32"/>
        </w:rPr>
        <w:t xml:space="preserve">: Sean Kelly, Bryan Ruiz, Madison </w:t>
      </w:r>
      <w:proofErr w:type="spellStart"/>
      <w:r>
        <w:rPr>
          <w:rFonts w:ascii="Arial" w:eastAsia="Arial" w:hAnsi="Arial" w:cs="Arial"/>
          <w:sz w:val="24"/>
          <w:szCs w:val="32"/>
        </w:rPr>
        <w:t>Staufenbeil</w:t>
      </w:r>
      <w:proofErr w:type="spellEnd"/>
      <w:r w:rsidR="009E2F14">
        <w:rPr>
          <w:rFonts w:ascii="Arial" w:eastAsia="Arial" w:hAnsi="Arial" w:cs="Arial"/>
          <w:sz w:val="24"/>
          <w:szCs w:val="32"/>
        </w:rPr>
        <w:t>, Andrea Skinner</w:t>
      </w:r>
    </w:p>
    <w:p w14:paraId="02E208D2" w14:textId="1DB1D142" w:rsidR="00CA3362" w:rsidRPr="00CA3362" w:rsidRDefault="00CA3362" w:rsidP="00CE4EA5">
      <w:pPr>
        <w:ind w:left="135" w:firstLine="720"/>
        <w:rPr>
          <w:rFonts w:ascii="Arial" w:eastAsia="Arial" w:hAnsi="Arial" w:cs="Arial"/>
          <w:sz w:val="24"/>
          <w:szCs w:val="32"/>
        </w:rPr>
      </w:pPr>
      <w:r w:rsidRPr="00CE4EA5">
        <w:rPr>
          <w:rFonts w:ascii="Arial" w:eastAsia="Arial" w:hAnsi="Arial" w:cs="Arial"/>
          <w:sz w:val="24"/>
          <w:szCs w:val="32"/>
          <w:u w:val="single"/>
        </w:rPr>
        <w:t>Staff</w:t>
      </w:r>
      <w:r w:rsidR="00CE4EA5">
        <w:rPr>
          <w:rFonts w:ascii="Arial" w:eastAsia="Arial" w:hAnsi="Arial" w:cs="Arial"/>
          <w:sz w:val="24"/>
          <w:szCs w:val="32"/>
          <w:u w:val="single"/>
        </w:rPr>
        <w:t xml:space="preserve"> present</w:t>
      </w:r>
      <w:r>
        <w:rPr>
          <w:rFonts w:ascii="Arial" w:eastAsia="Arial" w:hAnsi="Arial" w:cs="Arial"/>
          <w:sz w:val="24"/>
          <w:szCs w:val="32"/>
        </w:rPr>
        <w:t xml:space="preserve">: David Daniels, </w:t>
      </w:r>
      <w:proofErr w:type="spellStart"/>
      <w:r>
        <w:rPr>
          <w:rFonts w:ascii="Arial" w:eastAsia="Arial" w:hAnsi="Arial" w:cs="Arial"/>
          <w:sz w:val="24"/>
          <w:szCs w:val="32"/>
        </w:rPr>
        <w:t>Alexxa</w:t>
      </w:r>
      <w:proofErr w:type="spellEnd"/>
      <w:r>
        <w:rPr>
          <w:rFonts w:ascii="Arial" w:eastAsia="Arial" w:hAnsi="Arial" w:cs="Arial"/>
          <w:sz w:val="24"/>
          <w:szCs w:val="32"/>
        </w:rPr>
        <w:t xml:space="preserve"> Esparza, </w:t>
      </w:r>
      <w:r w:rsidR="009E2F14">
        <w:rPr>
          <w:rFonts w:ascii="Arial" w:eastAsia="Arial" w:hAnsi="Arial" w:cs="Arial"/>
          <w:sz w:val="24"/>
          <w:szCs w:val="32"/>
        </w:rPr>
        <w:t>Dianne Wei,</w:t>
      </w:r>
      <w:r w:rsidR="004925D2">
        <w:rPr>
          <w:rFonts w:ascii="Arial" w:eastAsia="Arial" w:hAnsi="Arial" w:cs="Arial"/>
          <w:sz w:val="24"/>
          <w:szCs w:val="32"/>
        </w:rPr>
        <w:t xml:space="preserve"> Kirk England</w:t>
      </w:r>
    </w:p>
    <w:p w14:paraId="33C2E851" w14:textId="77777777" w:rsidR="007B1207" w:rsidRDefault="007B1207">
      <w:pPr>
        <w:rPr>
          <w:rFonts w:ascii="Arial" w:eastAsia="Arial" w:hAnsi="Arial" w:cs="Arial"/>
          <w:sz w:val="32"/>
          <w:szCs w:val="32"/>
        </w:rPr>
      </w:pPr>
    </w:p>
    <w:p w14:paraId="3B40C098" w14:textId="7A207B80" w:rsidR="00016D70" w:rsidRPr="00EE2537" w:rsidRDefault="0060113C" w:rsidP="00391A3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>
        <w:t xml:space="preserve"> </w:t>
      </w:r>
      <w:r w:rsidRPr="00EE2537">
        <w:rPr>
          <w:sz w:val="24"/>
        </w:rPr>
        <w:t xml:space="preserve">Welcome </w:t>
      </w:r>
      <w:r w:rsidR="00D85B03" w:rsidRPr="00EE2537">
        <w:rPr>
          <w:sz w:val="24"/>
        </w:rPr>
        <w:t>and introductions</w:t>
      </w:r>
    </w:p>
    <w:p w14:paraId="26D9358E" w14:textId="0EF41401" w:rsidR="00271A4D" w:rsidRPr="00EE2537" w:rsidRDefault="00271A4D" w:rsidP="00271A4D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Meeting called to order at 8:</w:t>
      </w:r>
      <w:r w:rsidR="00922A0D" w:rsidRPr="00EE2537">
        <w:rPr>
          <w:sz w:val="24"/>
        </w:rPr>
        <w:t>02 am</w:t>
      </w:r>
    </w:p>
    <w:p w14:paraId="5EDBB4C2" w14:textId="2DB26945" w:rsidR="00EE5B63" w:rsidRPr="00EE2537" w:rsidRDefault="00EE5B63" w:rsidP="00271A4D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Brief introductions of attendees and staff</w:t>
      </w:r>
    </w:p>
    <w:p w14:paraId="4BCE1295" w14:textId="77777777" w:rsidR="00276DB2" w:rsidRPr="00EE2537" w:rsidRDefault="00276DB2" w:rsidP="007A64AF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</w:rPr>
      </w:pPr>
    </w:p>
    <w:p w14:paraId="4DC5CEEC" w14:textId="5E716ED2" w:rsidR="00390096" w:rsidRPr="00EE2537" w:rsidRDefault="007A64AF" w:rsidP="0039009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 xml:space="preserve"> </w:t>
      </w:r>
      <w:r w:rsidR="000878D3" w:rsidRPr="00EE2537">
        <w:rPr>
          <w:sz w:val="24"/>
        </w:rPr>
        <w:t>Budget overview and outlook with proposals received</w:t>
      </w:r>
      <w:r w:rsidR="00D85B03" w:rsidRPr="00EE2537">
        <w:rPr>
          <w:sz w:val="24"/>
        </w:rPr>
        <w:t xml:space="preserve"> (D. Daniels)</w:t>
      </w:r>
    </w:p>
    <w:p w14:paraId="270B204F" w14:textId="2F5AE7C7" w:rsidR="000A26ED" w:rsidRPr="00EE2537" w:rsidRDefault="00EE2537" w:rsidP="006E171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>
        <w:rPr>
          <w:sz w:val="24"/>
        </w:rPr>
        <w:t xml:space="preserve">D. Daniels stated </w:t>
      </w:r>
      <w:r w:rsidR="00CE4EA5">
        <w:rPr>
          <w:sz w:val="24"/>
        </w:rPr>
        <w:t>66</w:t>
      </w:r>
      <w:r w:rsidR="00EE5B63" w:rsidRPr="00EE2537">
        <w:rPr>
          <w:sz w:val="24"/>
        </w:rPr>
        <w:t xml:space="preserve"> proposals were received</w:t>
      </w:r>
      <w:r w:rsidR="00CE4EA5">
        <w:rPr>
          <w:sz w:val="24"/>
        </w:rPr>
        <w:t>; recommend</w:t>
      </w:r>
      <w:r w:rsidR="007209CB" w:rsidRPr="00EE2537">
        <w:rPr>
          <w:sz w:val="24"/>
        </w:rPr>
        <w:t>ed keeping the school</w:t>
      </w:r>
      <w:r w:rsidR="00CE4EA5">
        <w:rPr>
          <w:sz w:val="24"/>
        </w:rPr>
        <w:t>’</w:t>
      </w:r>
      <w:r w:rsidR="007209CB" w:rsidRPr="00EE2537">
        <w:rPr>
          <w:sz w:val="24"/>
        </w:rPr>
        <w:t>s</w:t>
      </w:r>
      <w:r w:rsidR="00C14904" w:rsidRPr="00EE2537">
        <w:rPr>
          <w:sz w:val="24"/>
        </w:rPr>
        <w:t xml:space="preserve"> mission </w:t>
      </w:r>
      <w:r w:rsidR="00CE4EA5">
        <w:rPr>
          <w:sz w:val="24"/>
        </w:rPr>
        <w:t xml:space="preserve">and IRA guidelines </w:t>
      </w:r>
      <w:r w:rsidR="00C14904" w:rsidRPr="00EE2537">
        <w:rPr>
          <w:sz w:val="24"/>
        </w:rPr>
        <w:t>in mind when reviewing</w:t>
      </w:r>
      <w:r w:rsidR="00CE4EA5">
        <w:rPr>
          <w:sz w:val="24"/>
        </w:rPr>
        <w:t xml:space="preserve"> proposals, as we will need to make some decisions to cut or reduce funding due to our current revenue levels – e.g. if </w:t>
      </w:r>
      <w:r w:rsidR="00CE4EA5">
        <w:rPr>
          <w:sz w:val="24"/>
        </w:rPr>
        <w:t xml:space="preserve">all </w:t>
      </w:r>
      <w:r w:rsidR="00CE4EA5" w:rsidRPr="00EE2537">
        <w:rPr>
          <w:sz w:val="24"/>
        </w:rPr>
        <w:t xml:space="preserve">proposals are approved the revenue for Spring 2020 would </w:t>
      </w:r>
      <w:r w:rsidR="00CE4EA5">
        <w:rPr>
          <w:sz w:val="24"/>
        </w:rPr>
        <w:t xml:space="preserve">drop </w:t>
      </w:r>
      <w:r w:rsidR="00CE4EA5">
        <w:rPr>
          <w:sz w:val="24"/>
        </w:rPr>
        <w:t>to about half of what it normally is</w:t>
      </w:r>
      <w:r w:rsidR="00CE4EA5" w:rsidRPr="00EE2537">
        <w:rPr>
          <w:sz w:val="24"/>
        </w:rPr>
        <w:t>.</w:t>
      </w:r>
      <w:r w:rsidR="007209CB" w:rsidRPr="00EE2537">
        <w:rPr>
          <w:sz w:val="24"/>
        </w:rPr>
        <w:t xml:space="preserve"> </w:t>
      </w:r>
      <w:r w:rsidR="00014AF2" w:rsidRPr="00EE2537">
        <w:rPr>
          <w:sz w:val="24"/>
        </w:rPr>
        <w:t>K. En</w:t>
      </w:r>
      <w:r w:rsidR="004446CF" w:rsidRPr="00EE2537">
        <w:rPr>
          <w:sz w:val="24"/>
        </w:rPr>
        <w:t>gland requested clarification</w:t>
      </w:r>
      <w:r w:rsidR="00922A0D" w:rsidRPr="00EE2537">
        <w:rPr>
          <w:sz w:val="24"/>
        </w:rPr>
        <w:t xml:space="preserve"> </w:t>
      </w:r>
      <w:r w:rsidR="004446CF" w:rsidRPr="00EE2537">
        <w:rPr>
          <w:sz w:val="24"/>
        </w:rPr>
        <w:t>regarding the cash balance</w:t>
      </w:r>
      <w:r w:rsidR="00CE4EA5">
        <w:rPr>
          <w:sz w:val="24"/>
        </w:rPr>
        <w:t xml:space="preserve">; </w:t>
      </w:r>
      <w:r w:rsidR="004446CF" w:rsidRPr="00EE2537">
        <w:rPr>
          <w:sz w:val="24"/>
        </w:rPr>
        <w:t xml:space="preserve">D. Daniels </w:t>
      </w:r>
      <w:r w:rsidR="00CE4EA5">
        <w:rPr>
          <w:sz w:val="24"/>
        </w:rPr>
        <w:t xml:space="preserve">clarified that this revenue figure still maintains 20% of fund balance; K. England added that this </w:t>
      </w:r>
      <w:proofErr w:type="gramStart"/>
      <w:r w:rsidR="00CE4EA5">
        <w:rPr>
          <w:sz w:val="24"/>
        </w:rPr>
        <w:t>could be used</w:t>
      </w:r>
      <w:proofErr w:type="gramEnd"/>
      <w:r w:rsidR="00CE4EA5">
        <w:rPr>
          <w:sz w:val="24"/>
        </w:rPr>
        <w:t xml:space="preserve"> for contingencies; D. Daniels agreed, cited international trips that may have to manage</w:t>
      </w:r>
      <w:r w:rsidR="00C14904" w:rsidRPr="00EE2537">
        <w:rPr>
          <w:sz w:val="24"/>
        </w:rPr>
        <w:t xml:space="preserve"> currency rate fluctuations</w:t>
      </w:r>
      <w:r w:rsidR="00014AF2" w:rsidRPr="00EE2537">
        <w:rPr>
          <w:sz w:val="24"/>
        </w:rPr>
        <w:t>.</w:t>
      </w:r>
      <w:r w:rsidR="006E1710" w:rsidRPr="00EE2537">
        <w:rPr>
          <w:sz w:val="24"/>
        </w:rPr>
        <w:t xml:space="preserve"> </w:t>
      </w:r>
      <w:r w:rsidR="00755681" w:rsidRPr="00EE2537">
        <w:rPr>
          <w:sz w:val="24"/>
        </w:rPr>
        <w:t xml:space="preserve">K. England requested clarification on </w:t>
      </w:r>
      <w:r w:rsidR="000A26ED" w:rsidRPr="00EE2537">
        <w:rPr>
          <w:sz w:val="24"/>
        </w:rPr>
        <w:t>other g</w:t>
      </w:r>
      <w:r w:rsidR="00755681" w:rsidRPr="00EE2537">
        <w:rPr>
          <w:sz w:val="24"/>
        </w:rPr>
        <w:t xml:space="preserve">roups </w:t>
      </w:r>
      <w:r w:rsidR="000A26ED" w:rsidRPr="00EE2537">
        <w:rPr>
          <w:sz w:val="24"/>
        </w:rPr>
        <w:t>involved</w:t>
      </w:r>
      <w:r w:rsidR="006E1710" w:rsidRPr="00EE2537">
        <w:rPr>
          <w:sz w:val="24"/>
        </w:rPr>
        <w:t xml:space="preserve">. </w:t>
      </w:r>
      <w:r w:rsidR="00755681" w:rsidRPr="00EE2537">
        <w:rPr>
          <w:sz w:val="24"/>
        </w:rPr>
        <w:t>D. Daniels broke down</w:t>
      </w:r>
      <w:r w:rsidR="000A26ED" w:rsidRPr="00EE2537">
        <w:rPr>
          <w:sz w:val="24"/>
        </w:rPr>
        <w:t xml:space="preserve"> each group. P</w:t>
      </w:r>
      <w:r w:rsidR="00755681" w:rsidRPr="00EE2537">
        <w:rPr>
          <w:sz w:val="24"/>
        </w:rPr>
        <w:t>A: performing arts. SRI: Santa R</w:t>
      </w:r>
      <w:r w:rsidR="00C90A89">
        <w:rPr>
          <w:sz w:val="24"/>
        </w:rPr>
        <w:t>osa R</w:t>
      </w:r>
      <w:r w:rsidR="000A26ED" w:rsidRPr="00EE2537">
        <w:rPr>
          <w:sz w:val="24"/>
        </w:rPr>
        <w:t xml:space="preserve">esearch. </w:t>
      </w:r>
      <w:r w:rsidR="00CE4EA5">
        <w:rPr>
          <w:sz w:val="24"/>
        </w:rPr>
        <w:t xml:space="preserve">FT: Field Trips; GS: Guest Speakers. </w:t>
      </w:r>
      <w:r w:rsidR="000A26ED" w:rsidRPr="00EE2537">
        <w:rPr>
          <w:sz w:val="24"/>
        </w:rPr>
        <w:t>O: other</w:t>
      </w:r>
      <w:r w:rsidR="006E1710" w:rsidRPr="00EE2537">
        <w:rPr>
          <w:sz w:val="24"/>
        </w:rPr>
        <w:t>.</w:t>
      </w:r>
    </w:p>
    <w:p w14:paraId="4838BA2F" w14:textId="77777777" w:rsidR="00276DB2" w:rsidRPr="00EE2537" w:rsidRDefault="00276DB2" w:rsidP="00D85B03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</w:rPr>
      </w:pPr>
    </w:p>
    <w:p w14:paraId="760D9AA7" w14:textId="3D1A38F5" w:rsidR="007B1207" w:rsidRPr="00CE4EA5" w:rsidRDefault="007A64AF" w:rsidP="00CE4EA5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 xml:space="preserve"> </w:t>
      </w:r>
      <w:r w:rsidR="00276DB2" w:rsidRPr="00EE2537">
        <w:rPr>
          <w:sz w:val="24"/>
        </w:rPr>
        <w:t>Introductory discussion on new proposals received for Fall 2019 and FY19-20 activities</w:t>
      </w:r>
    </w:p>
    <w:p w14:paraId="67CD006D" w14:textId="383D6A76" w:rsidR="00EE5B63" w:rsidRPr="00EE2537" w:rsidRDefault="00C90A89" w:rsidP="00EE5B63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>
        <w:rPr>
          <w:sz w:val="24"/>
        </w:rPr>
        <w:t>K. England requested B. Ruiz explain</w:t>
      </w:r>
      <w:r w:rsidR="00EE5B63" w:rsidRPr="00EE2537">
        <w:rPr>
          <w:sz w:val="24"/>
        </w:rPr>
        <w:t xml:space="preserve"> how he planned </w:t>
      </w:r>
      <w:proofErr w:type="gramStart"/>
      <w:r w:rsidR="00EE5B63" w:rsidRPr="00EE2537">
        <w:rPr>
          <w:sz w:val="24"/>
        </w:rPr>
        <w:t>on using</w:t>
      </w:r>
      <w:proofErr w:type="gramEnd"/>
      <w:r w:rsidR="00EE5B63" w:rsidRPr="00EE2537">
        <w:rPr>
          <w:sz w:val="24"/>
        </w:rPr>
        <w:t xml:space="preserve"> the budget for the following year.</w:t>
      </w:r>
    </w:p>
    <w:p w14:paraId="3E96532E" w14:textId="77777777" w:rsidR="00EE5B63" w:rsidRPr="00EE2537" w:rsidRDefault="00EE5B63" w:rsidP="00EE5B63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B. Ruiz stated wanting to get the Center for International affairs (CIA) to give the IRA committee a ranking and coming in to speak with the IRA committee.</w:t>
      </w:r>
    </w:p>
    <w:p w14:paraId="758D476C" w14:textId="70D82E90" w:rsidR="00EE5B63" w:rsidRPr="00EE2537" w:rsidRDefault="00EE5B63" w:rsidP="00EE5B63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A. Skinner mentioned a portion should be assigned to each category.</w:t>
      </w:r>
    </w:p>
    <w:p w14:paraId="6857E11B" w14:textId="1CB494C8" w:rsidR="006E1710" w:rsidRPr="00EE2537" w:rsidRDefault="006E1710" w:rsidP="006E171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K. England expressed his concern regarding the amount of work load coming in. The committee continues to see a constant i</w:t>
      </w:r>
      <w:r w:rsidR="00617847">
        <w:rPr>
          <w:sz w:val="24"/>
        </w:rPr>
        <w:t>ncrease in proposals each year.</w:t>
      </w:r>
    </w:p>
    <w:p w14:paraId="685E7095" w14:textId="77777777" w:rsidR="006E1710" w:rsidRPr="00EE2537" w:rsidRDefault="006E1710" w:rsidP="006E171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B. Ruiz mentioned having the top proposals to come in and present</w:t>
      </w:r>
    </w:p>
    <w:p w14:paraId="7851773A" w14:textId="687270AF" w:rsidR="006E1710" w:rsidRPr="00EE2537" w:rsidRDefault="006E1710" w:rsidP="006E1710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 xml:space="preserve">D. Daniels will speak with Andrea Grove about coming in to </w:t>
      </w:r>
      <w:r w:rsidRPr="00EE2537">
        <w:rPr>
          <w:sz w:val="24"/>
        </w:rPr>
        <w:lastRenderedPageBreak/>
        <w:t>present.</w:t>
      </w:r>
    </w:p>
    <w:p w14:paraId="71EAB327" w14:textId="77777777" w:rsidR="006E1710" w:rsidRPr="00EE2537" w:rsidRDefault="006E1710" w:rsidP="006E171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K. England commented on line 6 and mentioned the concern for sustainability of line item 6.</w:t>
      </w:r>
    </w:p>
    <w:p w14:paraId="53E7D601" w14:textId="77777777" w:rsidR="006E1710" w:rsidRPr="00EE2537" w:rsidRDefault="006E1710" w:rsidP="006E171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 xml:space="preserve">S. Kelly expressed his confusion on line 19. The faculty chair should be proposing the proposals not staff. </w:t>
      </w:r>
    </w:p>
    <w:p w14:paraId="55EF0445" w14:textId="77777777" w:rsidR="00EE2537" w:rsidRPr="00EE2537" w:rsidRDefault="00EE2537" w:rsidP="00EE253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S. Kelly emphasized the need for a strategic plan when approving the proposals.</w:t>
      </w:r>
    </w:p>
    <w:p w14:paraId="4D83AC53" w14:textId="77777777" w:rsidR="00EE2537" w:rsidRPr="00EE2537" w:rsidRDefault="00EE2537" w:rsidP="00EE253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K. England suggested rethinking the strategy.</w:t>
      </w:r>
    </w:p>
    <w:p w14:paraId="4F76BD26" w14:textId="77777777" w:rsidR="00EE2537" w:rsidRPr="00EE2537" w:rsidRDefault="00EE2537" w:rsidP="00EE253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 xml:space="preserve">S. Kelly mentioned having </w:t>
      </w:r>
      <w:r>
        <w:rPr>
          <w:sz w:val="24"/>
        </w:rPr>
        <w:t>Andrea G</w:t>
      </w:r>
      <w:r w:rsidRPr="00EE2537">
        <w:rPr>
          <w:sz w:val="24"/>
        </w:rPr>
        <w:t>rove give a report on what trips should be funded and what should not be funded.</w:t>
      </w:r>
    </w:p>
    <w:p w14:paraId="19434235" w14:textId="77777777" w:rsidR="00EE2537" w:rsidRDefault="00EE2537" w:rsidP="00EE253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D. Wei sought clarification on groups who can decide the importance of proposals. A. Skinner expressed her concern on who decides what proposal is more important.</w:t>
      </w:r>
    </w:p>
    <w:p w14:paraId="444FB835" w14:textId="77777777" w:rsidR="00EE2537" w:rsidRPr="00EE2537" w:rsidRDefault="00EE2537" w:rsidP="00EE253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 xml:space="preserve"> S. Kelly commented that A. Grove would be able to give the IRA committee an important insight about the trips.</w:t>
      </w:r>
    </w:p>
    <w:p w14:paraId="415A91A3" w14:textId="70D412F5" w:rsidR="00EE2537" w:rsidRPr="00EE2537" w:rsidRDefault="00EE2537" w:rsidP="00EE253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M. S</w:t>
      </w:r>
      <w:r w:rsidR="00F7436B">
        <w:rPr>
          <w:sz w:val="24"/>
        </w:rPr>
        <w:t xml:space="preserve">taufenbeil </w:t>
      </w:r>
      <w:r w:rsidRPr="00EE2537">
        <w:rPr>
          <w:sz w:val="24"/>
        </w:rPr>
        <w:t xml:space="preserve">stated her opinion regarding moving forward with awarding proposals. </w:t>
      </w:r>
    </w:p>
    <w:p w14:paraId="4A91DF86" w14:textId="77777777" w:rsidR="00EE2537" w:rsidRPr="00EE2537" w:rsidRDefault="00EE2537" w:rsidP="00EE253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 xml:space="preserve">Percentages should be issued based on groups. Groups can be broken down by previously funded vs not previously funded. </w:t>
      </w:r>
    </w:p>
    <w:p w14:paraId="7B47AD2B" w14:textId="4467949C" w:rsidR="00EE2537" w:rsidRPr="00EE2537" w:rsidRDefault="00EE2537" w:rsidP="00EE253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 xml:space="preserve">S. Kelly suggested handing CIA an amount of funding then CIA </w:t>
      </w:r>
      <w:proofErr w:type="gramStart"/>
      <w:r w:rsidRPr="00EE2537">
        <w:rPr>
          <w:sz w:val="24"/>
        </w:rPr>
        <w:t>can</w:t>
      </w:r>
      <w:proofErr w:type="gramEnd"/>
      <w:r w:rsidRPr="00EE2537">
        <w:rPr>
          <w:sz w:val="24"/>
        </w:rPr>
        <w:t xml:space="preserve"> decide what proposal is best to fund. CIA would then become more vibrant </w:t>
      </w:r>
      <w:r w:rsidR="00617847">
        <w:rPr>
          <w:sz w:val="24"/>
        </w:rPr>
        <w:t xml:space="preserve">and effective </w:t>
      </w:r>
      <w:r w:rsidRPr="00EE2537">
        <w:rPr>
          <w:sz w:val="24"/>
        </w:rPr>
        <w:t>because they have funding that everyone wants.</w:t>
      </w:r>
    </w:p>
    <w:p w14:paraId="07CB5159" w14:textId="3DA55F92" w:rsidR="00EE2537" w:rsidRPr="00EE2537" w:rsidRDefault="00EE2537" w:rsidP="00EE253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 xml:space="preserve">S. Kelly suggested sending proposals to relating centers. For example, multicultural events </w:t>
      </w:r>
      <w:proofErr w:type="gramStart"/>
      <w:r w:rsidRPr="00EE2537">
        <w:rPr>
          <w:sz w:val="24"/>
        </w:rPr>
        <w:t>can be s</w:t>
      </w:r>
      <w:r w:rsidR="00617847">
        <w:rPr>
          <w:sz w:val="24"/>
        </w:rPr>
        <w:t>ent</w:t>
      </w:r>
      <w:proofErr w:type="gramEnd"/>
      <w:r w:rsidR="00617847">
        <w:rPr>
          <w:sz w:val="24"/>
        </w:rPr>
        <w:t xml:space="preserve"> to the multicultural center, </w:t>
      </w:r>
      <w:r w:rsidRPr="00EE2537">
        <w:rPr>
          <w:sz w:val="24"/>
        </w:rPr>
        <w:t>etc.</w:t>
      </w:r>
    </w:p>
    <w:p w14:paraId="1DFC673A" w14:textId="77777777" w:rsidR="00EE2537" w:rsidRPr="00EE2537" w:rsidRDefault="00EE2537" w:rsidP="00EE253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S. Kelly suggested on an annual basis having the centers come in and report on what accomplishments have been met.</w:t>
      </w:r>
    </w:p>
    <w:p w14:paraId="4F0745BC" w14:textId="77777777" w:rsidR="00CE4EA5" w:rsidRPr="00CE4EA5" w:rsidRDefault="00CE4EA5" w:rsidP="00CE4EA5">
      <w:pPr>
        <w:pStyle w:val="BodyText"/>
        <w:tabs>
          <w:tab w:val="left" w:pos="1220"/>
        </w:tabs>
        <w:spacing w:line="256" w:lineRule="auto"/>
        <w:ind w:left="2300" w:right="214" w:firstLine="0"/>
        <w:rPr>
          <w:sz w:val="24"/>
        </w:rPr>
      </w:pPr>
      <w:bookmarkStart w:id="0" w:name="_GoBack"/>
      <w:bookmarkEnd w:id="0"/>
    </w:p>
    <w:p w14:paraId="23E3B8B2" w14:textId="6420E39D" w:rsidR="00CE4EA5" w:rsidRPr="00CE4EA5" w:rsidRDefault="00CE4EA5" w:rsidP="00CE4EA5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Other business and meeting adjournment</w:t>
      </w:r>
    </w:p>
    <w:p w14:paraId="72314C84" w14:textId="77777777" w:rsidR="00CE4EA5" w:rsidRPr="00EE2537" w:rsidRDefault="00CE4EA5" w:rsidP="00CE4EA5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</w:rPr>
      </w:pPr>
      <w:r w:rsidRPr="00EE2537">
        <w:rPr>
          <w:sz w:val="24"/>
        </w:rPr>
        <w:t>B. Ruiz adjourned meeting at 8:58am.</w:t>
      </w:r>
    </w:p>
    <w:p w14:paraId="68516B92" w14:textId="77777777" w:rsidR="00CE4EA5" w:rsidRPr="00EE2537" w:rsidRDefault="00CE4EA5" w:rsidP="00CE4EA5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</w:rPr>
      </w:pPr>
    </w:p>
    <w:p w14:paraId="685EBE77" w14:textId="77777777" w:rsidR="00CE4EA5" w:rsidRPr="00EE2537" w:rsidRDefault="00CE4EA5" w:rsidP="00CE4EA5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</w:rPr>
      </w:pPr>
    </w:p>
    <w:sectPr w:rsidR="00CE4EA5" w:rsidRPr="00EE2537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05C69"/>
    <w:rsid w:val="00014AF2"/>
    <w:rsid w:val="00016D70"/>
    <w:rsid w:val="00016ED9"/>
    <w:rsid w:val="0003383D"/>
    <w:rsid w:val="00064EFF"/>
    <w:rsid w:val="000717F3"/>
    <w:rsid w:val="000878D3"/>
    <w:rsid w:val="000A26ED"/>
    <w:rsid w:val="000C17CB"/>
    <w:rsid w:val="000C7EAE"/>
    <w:rsid w:val="000E4018"/>
    <w:rsid w:val="001043E5"/>
    <w:rsid w:val="00120258"/>
    <w:rsid w:val="00140D6B"/>
    <w:rsid w:val="00163B9B"/>
    <w:rsid w:val="001B509A"/>
    <w:rsid w:val="001C3836"/>
    <w:rsid w:val="001E12BB"/>
    <w:rsid w:val="00230C6F"/>
    <w:rsid w:val="00250ECC"/>
    <w:rsid w:val="002604A9"/>
    <w:rsid w:val="00261B22"/>
    <w:rsid w:val="00271A4D"/>
    <w:rsid w:val="00276DB2"/>
    <w:rsid w:val="00312588"/>
    <w:rsid w:val="00316A64"/>
    <w:rsid w:val="003769FD"/>
    <w:rsid w:val="00386BCC"/>
    <w:rsid w:val="00390096"/>
    <w:rsid w:val="00391A30"/>
    <w:rsid w:val="003A6758"/>
    <w:rsid w:val="003C54F6"/>
    <w:rsid w:val="003E20B6"/>
    <w:rsid w:val="0042679A"/>
    <w:rsid w:val="0044047D"/>
    <w:rsid w:val="004446CF"/>
    <w:rsid w:val="0045504F"/>
    <w:rsid w:val="00481813"/>
    <w:rsid w:val="004925D2"/>
    <w:rsid w:val="004A7D08"/>
    <w:rsid w:val="004D0D6E"/>
    <w:rsid w:val="004D2198"/>
    <w:rsid w:val="004D6CA4"/>
    <w:rsid w:val="00521386"/>
    <w:rsid w:val="00542777"/>
    <w:rsid w:val="00552759"/>
    <w:rsid w:val="005604D0"/>
    <w:rsid w:val="00562366"/>
    <w:rsid w:val="00566E30"/>
    <w:rsid w:val="005734B3"/>
    <w:rsid w:val="005826BC"/>
    <w:rsid w:val="00594FF6"/>
    <w:rsid w:val="005C3D9F"/>
    <w:rsid w:val="0060113C"/>
    <w:rsid w:val="00617847"/>
    <w:rsid w:val="00620285"/>
    <w:rsid w:val="00626ECB"/>
    <w:rsid w:val="00631D90"/>
    <w:rsid w:val="00633480"/>
    <w:rsid w:val="00637F85"/>
    <w:rsid w:val="00642D83"/>
    <w:rsid w:val="00682925"/>
    <w:rsid w:val="006C01B2"/>
    <w:rsid w:val="006C051D"/>
    <w:rsid w:val="006C198A"/>
    <w:rsid w:val="006D0AC1"/>
    <w:rsid w:val="006E1710"/>
    <w:rsid w:val="006F0E7F"/>
    <w:rsid w:val="00711ABF"/>
    <w:rsid w:val="00713B59"/>
    <w:rsid w:val="007174BF"/>
    <w:rsid w:val="007209CB"/>
    <w:rsid w:val="00741F08"/>
    <w:rsid w:val="00755681"/>
    <w:rsid w:val="00783D62"/>
    <w:rsid w:val="00791634"/>
    <w:rsid w:val="007A41AB"/>
    <w:rsid w:val="007A64AF"/>
    <w:rsid w:val="007B1207"/>
    <w:rsid w:val="007B186E"/>
    <w:rsid w:val="007F3F86"/>
    <w:rsid w:val="0082772B"/>
    <w:rsid w:val="00835645"/>
    <w:rsid w:val="00835C21"/>
    <w:rsid w:val="00861E4E"/>
    <w:rsid w:val="00871C28"/>
    <w:rsid w:val="008754A2"/>
    <w:rsid w:val="008C0414"/>
    <w:rsid w:val="008C697A"/>
    <w:rsid w:val="008D0EA7"/>
    <w:rsid w:val="008D167F"/>
    <w:rsid w:val="008F14FF"/>
    <w:rsid w:val="00922A0D"/>
    <w:rsid w:val="00950742"/>
    <w:rsid w:val="00976586"/>
    <w:rsid w:val="00997BBD"/>
    <w:rsid w:val="009E2F14"/>
    <w:rsid w:val="009E7AC0"/>
    <w:rsid w:val="00A4019C"/>
    <w:rsid w:val="00A40418"/>
    <w:rsid w:val="00A42243"/>
    <w:rsid w:val="00A437AF"/>
    <w:rsid w:val="00A81546"/>
    <w:rsid w:val="00A968BF"/>
    <w:rsid w:val="00AE405D"/>
    <w:rsid w:val="00AE4DF9"/>
    <w:rsid w:val="00AF527B"/>
    <w:rsid w:val="00B007DF"/>
    <w:rsid w:val="00B00DA3"/>
    <w:rsid w:val="00B10D12"/>
    <w:rsid w:val="00B532EA"/>
    <w:rsid w:val="00B743B0"/>
    <w:rsid w:val="00B7673E"/>
    <w:rsid w:val="00B86F11"/>
    <w:rsid w:val="00BB3D2C"/>
    <w:rsid w:val="00BB55D2"/>
    <w:rsid w:val="00BC5AFE"/>
    <w:rsid w:val="00BF15B3"/>
    <w:rsid w:val="00C14904"/>
    <w:rsid w:val="00C34A79"/>
    <w:rsid w:val="00C61A3E"/>
    <w:rsid w:val="00C64742"/>
    <w:rsid w:val="00C90A89"/>
    <w:rsid w:val="00C9151F"/>
    <w:rsid w:val="00CA3362"/>
    <w:rsid w:val="00CA4AC5"/>
    <w:rsid w:val="00CB1517"/>
    <w:rsid w:val="00CB4C64"/>
    <w:rsid w:val="00CE4EA5"/>
    <w:rsid w:val="00CF1B30"/>
    <w:rsid w:val="00D268FD"/>
    <w:rsid w:val="00D50581"/>
    <w:rsid w:val="00D76ACE"/>
    <w:rsid w:val="00D85B03"/>
    <w:rsid w:val="00DB3517"/>
    <w:rsid w:val="00DD505B"/>
    <w:rsid w:val="00DE3F21"/>
    <w:rsid w:val="00E024C3"/>
    <w:rsid w:val="00E033FB"/>
    <w:rsid w:val="00E06CE0"/>
    <w:rsid w:val="00E1037C"/>
    <w:rsid w:val="00E54C36"/>
    <w:rsid w:val="00E73EE8"/>
    <w:rsid w:val="00E90D15"/>
    <w:rsid w:val="00EC65A7"/>
    <w:rsid w:val="00ED3A98"/>
    <w:rsid w:val="00EE2537"/>
    <w:rsid w:val="00EE5383"/>
    <w:rsid w:val="00EE5B63"/>
    <w:rsid w:val="00F22660"/>
    <w:rsid w:val="00F26044"/>
    <w:rsid w:val="00F54856"/>
    <w:rsid w:val="00F64AEA"/>
    <w:rsid w:val="00F7436B"/>
    <w:rsid w:val="00F7476C"/>
    <w:rsid w:val="00F929B9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E36D-DD2D-45EA-AAB7-7F088282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26</cp:revision>
  <dcterms:created xsi:type="dcterms:W3CDTF">2019-03-26T14:49:00Z</dcterms:created>
  <dcterms:modified xsi:type="dcterms:W3CDTF">2019-04-04T21:31:00Z</dcterms:modified>
</cp:coreProperties>
</file>