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6A189858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F4542">
        <w:rPr>
          <w:rFonts w:ascii="Arial" w:eastAsia="Arial" w:hAnsi="Arial" w:cs="Arial"/>
          <w:sz w:val="28"/>
          <w:szCs w:val="28"/>
        </w:rPr>
        <w:t>Minutes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207CB8">
        <w:rPr>
          <w:rFonts w:ascii="Arial" w:eastAsia="Arial" w:hAnsi="Arial" w:cs="Arial"/>
          <w:sz w:val="28"/>
          <w:szCs w:val="28"/>
        </w:rPr>
        <w:t>April 23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4FF3DE23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207CB8">
        <w:rPr>
          <w:rFonts w:ascii="Arial"/>
          <w:spacing w:val="-6"/>
          <w:sz w:val="24"/>
        </w:rPr>
        <w:t>Discussion</w:t>
      </w:r>
      <w:r w:rsidR="005B6090">
        <w:rPr>
          <w:rFonts w:ascii="Arial"/>
          <w:spacing w:val="-6"/>
          <w:sz w:val="24"/>
        </w:rPr>
        <w:t xml:space="preserve"> and review</w:t>
      </w:r>
      <w:r w:rsidR="00207CB8">
        <w:rPr>
          <w:rFonts w:ascii="Arial"/>
          <w:spacing w:val="-6"/>
          <w:sz w:val="24"/>
        </w:rPr>
        <w:t xml:space="preserve"> of IRA proposals by activity category</w:t>
      </w:r>
      <w:r w:rsidR="006F3B97">
        <w:rPr>
          <w:rFonts w:ascii="Arial"/>
          <w:spacing w:val="-6"/>
          <w:sz w:val="24"/>
        </w:rPr>
        <w:t>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224EC1E8" w14:textId="0C3EDCAC" w:rsidR="00AF71E5" w:rsidRDefault="00F54856" w:rsidP="00AF71E5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032E04C6" w14:textId="77777777" w:rsidR="001522CB" w:rsidRPr="00BF7DC0" w:rsidRDefault="001522CB" w:rsidP="001522CB">
      <w:pPr>
        <w:pStyle w:val="BodyText"/>
        <w:tabs>
          <w:tab w:val="left" w:pos="1220"/>
        </w:tabs>
        <w:spacing w:line="256" w:lineRule="auto"/>
        <w:ind w:left="2300" w:right="214" w:firstLine="0"/>
        <w:rPr>
          <w:sz w:val="24"/>
          <w:szCs w:val="24"/>
        </w:rPr>
      </w:pPr>
    </w:p>
    <w:p w14:paraId="5E9B8F01" w14:textId="5858B835" w:rsidR="00AF71E5" w:rsidRDefault="00AF71E5" w:rsidP="00AF71E5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C473A5">
        <w:rPr>
          <w:sz w:val="24"/>
          <w:szCs w:val="24"/>
          <w:u w:val="single"/>
        </w:rPr>
        <w:t>Attendees:</w:t>
      </w:r>
      <w:r>
        <w:rPr>
          <w:sz w:val="24"/>
          <w:szCs w:val="24"/>
        </w:rPr>
        <w:t xml:space="preserve"> Andrea Skinner, Bryan Ruiz, Sean Kelly, </w:t>
      </w:r>
      <w:proofErr w:type="spellStart"/>
      <w:r w:rsidRPr="00AF71E5">
        <w:rPr>
          <w:sz w:val="24"/>
          <w:szCs w:val="24"/>
        </w:rPr>
        <w:t>Vigneshwari</w:t>
      </w:r>
      <w:proofErr w:type="spellEnd"/>
      <w:r w:rsidRPr="00AF71E5">
        <w:rPr>
          <w:sz w:val="24"/>
          <w:szCs w:val="24"/>
        </w:rPr>
        <w:t xml:space="preserve"> Kumar</w:t>
      </w:r>
      <w:r>
        <w:rPr>
          <w:sz w:val="24"/>
          <w:szCs w:val="24"/>
        </w:rPr>
        <w:t xml:space="preserve">, </w:t>
      </w:r>
      <w:r w:rsidRPr="00AF71E5">
        <w:rPr>
          <w:sz w:val="24"/>
          <w:szCs w:val="24"/>
        </w:rPr>
        <w:t xml:space="preserve">Madison </w:t>
      </w:r>
      <w:proofErr w:type="spellStart"/>
      <w:r w:rsidRPr="00AF71E5">
        <w:rPr>
          <w:sz w:val="24"/>
          <w:szCs w:val="24"/>
        </w:rPr>
        <w:t>Staufenbeil</w:t>
      </w:r>
      <w:proofErr w:type="spellEnd"/>
      <w:r w:rsidR="00C473A5">
        <w:rPr>
          <w:sz w:val="24"/>
          <w:szCs w:val="24"/>
        </w:rPr>
        <w:t xml:space="preserve">, </w:t>
      </w:r>
      <w:proofErr w:type="spellStart"/>
      <w:r w:rsidR="00C473A5">
        <w:rPr>
          <w:sz w:val="24"/>
          <w:szCs w:val="24"/>
        </w:rPr>
        <w:t>Alexxa</w:t>
      </w:r>
      <w:proofErr w:type="spellEnd"/>
      <w:r w:rsidR="00C473A5">
        <w:rPr>
          <w:sz w:val="24"/>
          <w:szCs w:val="24"/>
        </w:rPr>
        <w:t xml:space="preserve"> Esparza;</w:t>
      </w:r>
    </w:p>
    <w:p w14:paraId="10CA0184" w14:textId="5EA90DB7" w:rsidR="00AF71E5" w:rsidRDefault="00C473A5" w:rsidP="00AF71E5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C473A5">
        <w:rPr>
          <w:sz w:val="24"/>
          <w:szCs w:val="24"/>
          <w:u w:val="single"/>
        </w:rPr>
        <w:t>Staff:</w:t>
      </w:r>
      <w:r>
        <w:rPr>
          <w:sz w:val="24"/>
          <w:szCs w:val="24"/>
        </w:rPr>
        <w:t xml:space="preserve"> </w:t>
      </w:r>
      <w:r w:rsidR="00AF71E5">
        <w:rPr>
          <w:sz w:val="24"/>
          <w:szCs w:val="24"/>
        </w:rPr>
        <w:t>Kirk England</w:t>
      </w:r>
      <w:r>
        <w:rPr>
          <w:sz w:val="24"/>
          <w:szCs w:val="24"/>
        </w:rPr>
        <w:t>.</w:t>
      </w:r>
      <w:bookmarkStart w:id="0" w:name="_GoBack"/>
      <w:bookmarkEnd w:id="0"/>
    </w:p>
    <w:p w14:paraId="2C3DEDD5" w14:textId="77777777" w:rsidR="00D617BA" w:rsidRDefault="00D617BA" w:rsidP="00AF71E5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111265F6" w14:textId="3A18D5A8" w:rsidR="00AF71E5" w:rsidRDefault="00EA7BCF" w:rsidP="00AF71E5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B8">
        <w:rPr>
          <w:sz w:val="24"/>
          <w:szCs w:val="24"/>
        </w:rPr>
        <w:t>Discussion of IRA proposals by activity category</w:t>
      </w:r>
    </w:p>
    <w:p w14:paraId="65C9738F" w14:textId="7FF044E7" w:rsidR="00AF71E5" w:rsidRPr="00AF71E5" w:rsidRDefault="00AF71E5" w:rsidP="00AF71E5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Meeting called to order at 8:04 AM</w:t>
      </w:r>
    </w:p>
    <w:p w14:paraId="27CE0257" w14:textId="3D4636A9" w:rsidR="00207CB8" w:rsidRDefault="00207CB8" w:rsidP="00BC2D0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Review of historical IRA data</w:t>
      </w:r>
    </w:p>
    <w:p w14:paraId="3B3788F0" w14:textId="7A4E248D" w:rsidR="00445DF5" w:rsidRDefault="00445DF5" w:rsidP="00445DF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V. Kumar requested clarifi</w:t>
      </w:r>
      <w:r w:rsidR="001C2417">
        <w:rPr>
          <w:sz w:val="24"/>
          <w:szCs w:val="24"/>
        </w:rPr>
        <w:t>cation on what quantifies for “O</w:t>
      </w:r>
      <w:r>
        <w:rPr>
          <w:sz w:val="24"/>
          <w:szCs w:val="24"/>
        </w:rPr>
        <w:t>ther” Amt</w:t>
      </w:r>
      <w:r w:rsidR="001C2417">
        <w:rPr>
          <w:sz w:val="24"/>
          <w:szCs w:val="24"/>
        </w:rPr>
        <w:t xml:space="preserve"> on the </w:t>
      </w:r>
      <w:r w:rsidR="008C157C">
        <w:rPr>
          <w:sz w:val="24"/>
          <w:szCs w:val="24"/>
        </w:rPr>
        <w:t>spreadsheet</w:t>
      </w:r>
      <w:r>
        <w:rPr>
          <w:sz w:val="24"/>
          <w:szCs w:val="24"/>
        </w:rPr>
        <w:t>. S. Kelly clarified</w:t>
      </w:r>
      <w:r w:rsidR="001C2417">
        <w:rPr>
          <w:sz w:val="24"/>
          <w:szCs w:val="24"/>
        </w:rPr>
        <w:t xml:space="preserve"> “Other” Amt.</w:t>
      </w:r>
      <w:r>
        <w:rPr>
          <w:sz w:val="24"/>
          <w:szCs w:val="24"/>
        </w:rPr>
        <w:t xml:space="preserve"> </w:t>
      </w:r>
      <w:r w:rsidR="001C2417">
        <w:rPr>
          <w:sz w:val="24"/>
          <w:szCs w:val="24"/>
        </w:rPr>
        <w:t xml:space="preserve">being </w:t>
      </w:r>
      <w:r>
        <w:rPr>
          <w:sz w:val="24"/>
          <w:szCs w:val="24"/>
        </w:rPr>
        <w:t>the emergency fund. This would leave an amount for emergency funds</w:t>
      </w:r>
      <w:r w:rsidR="005C7BFC">
        <w:rPr>
          <w:sz w:val="24"/>
          <w:szCs w:val="24"/>
        </w:rPr>
        <w:t xml:space="preserve">. This Amt would also allocate for funding </w:t>
      </w:r>
      <w:r w:rsidR="001C2417">
        <w:rPr>
          <w:sz w:val="24"/>
          <w:szCs w:val="24"/>
        </w:rPr>
        <w:t>for sustainability at CI and</w:t>
      </w:r>
      <w:r w:rsidR="005C7BFC">
        <w:rPr>
          <w:sz w:val="24"/>
          <w:szCs w:val="24"/>
        </w:rPr>
        <w:t xml:space="preserve"> Guest speakers. S. Kelly proposed having </w:t>
      </w:r>
      <w:r w:rsidR="00F65313">
        <w:rPr>
          <w:sz w:val="24"/>
          <w:szCs w:val="24"/>
        </w:rPr>
        <w:t>signage</w:t>
      </w:r>
      <w:r w:rsidR="005C7BFC">
        <w:rPr>
          <w:sz w:val="24"/>
          <w:szCs w:val="24"/>
        </w:rPr>
        <w:t xml:space="preserve"> on every water </w:t>
      </w:r>
      <w:r w:rsidR="00F65313">
        <w:rPr>
          <w:sz w:val="24"/>
          <w:szCs w:val="24"/>
        </w:rPr>
        <w:t xml:space="preserve">filter station mentioning the student fees funding the stations. S. Kelly stated this allowing for more transparency for students. </w:t>
      </w:r>
      <w:r w:rsidR="005C7BFC">
        <w:rPr>
          <w:sz w:val="24"/>
          <w:szCs w:val="24"/>
        </w:rPr>
        <w:t xml:space="preserve">A. Skinner </w:t>
      </w:r>
      <w:r w:rsidR="00F65313">
        <w:rPr>
          <w:sz w:val="24"/>
          <w:szCs w:val="24"/>
        </w:rPr>
        <w:t xml:space="preserve">sought clarification on IRA funds funding the maintenance of the water stations. </w:t>
      </w:r>
      <w:r w:rsidR="00863B6D">
        <w:rPr>
          <w:sz w:val="24"/>
          <w:szCs w:val="24"/>
        </w:rPr>
        <w:t xml:space="preserve">K. England </w:t>
      </w:r>
      <w:r w:rsidR="003E2083">
        <w:rPr>
          <w:sz w:val="24"/>
          <w:szCs w:val="24"/>
        </w:rPr>
        <w:t xml:space="preserve">requested clarification on the </w:t>
      </w:r>
      <w:r w:rsidR="008C157C">
        <w:rPr>
          <w:sz w:val="24"/>
          <w:szCs w:val="24"/>
        </w:rPr>
        <w:t>spring</w:t>
      </w:r>
      <w:r w:rsidR="003E2083">
        <w:rPr>
          <w:sz w:val="24"/>
          <w:szCs w:val="24"/>
        </w:rPr>
        <w:t xml:space="preserve"> budget presence in the </w:t>
      </w:r>
      <w:r w:rsidR="008C157C">
        <w:rPr>
          <w:sz w:val="24"/>
          <w:szCs w:val="24"/>
        </w:rPr>
        <w:t>3-year</w:t>
      </w:r>
      <w:r w:rsidR="003E2083">
        <w:rPr>
          <w:sz w:val="24"/>
          <w:szCs w:val="24"/>
        </w:rPr>
        <w:t xml:space="preserve"> allocation plan. </w:t>
      </w:r>
      <w:r w:rsidR="00863B6D">
        <w:rPr>
          <w:sz w:val="24"/>
          <w:szCs w:val="24"/>
        </w:rPr>
        <w:t xml:space="preserve">S. Kelly </w:t>
      </w:r>
      <w:r w:rsidR="003E2083">
        <w:rPr>
          <w:sz w:val="24"/>
          <w:szCs w:val="24"/>
        </w:rPr>
        <w:t>commented any proposal</w:t>
      </w:r>
      <w:r w:rsidR="00863B6D">
        <w:rPr>
          <w:sz w:val="24"/>
          <w:szCs w:val="24"/>
        </w:rPr>
        <w:t xml:space="preserve"> not approved for </w:t>
      </w:r>
      <w:r w:rsidR="008C157C">
        <w:rPr>
          <w:sz w:val="24"/>
          <w:szCs w:val="24"/>
        </w:rPr>
        <w:t>fall</w:t>
      </w:r>
      <w:r w:rsidR="003E2083">
        <w:rPr>
          <w:sz w:val="24"/>
          <w:szCs w:val="24"/>
        </w:rPr>
        <w:t xml:space="preserve">, that funding would then </w:t>
      </w:r>
      <w:r w:rsidR="008C157C">
        <w:rPr>
          <w:sz w:val="24"/>
          <w:szCs w:val="24"/>
        </w:rPr>
        <w:t>be included in</w:t>
      </w:r>
      <w:r w:rsidR="00863B6D">
        <w:rPr>
          <w:sz w:val="24"/>
          <w:szCs w:val="24"/>
        </w:rPr>
        <w:t xml:space="preserve">to </w:t>
      </w:r>
      <w:r w:rsidR="008C157C">
        <w:rPr>
          <w:sz w:val="24"/>
          <w:szCs w:val="24"/>
        </w:rPr>
        <w:t>spring budget</w:t>
      </w:r>
      <w:r w:rsidR="00863B6D">
        <w:rPr>
          <w:sz w:val="24"/>
          <w:szCs w:val="24"/>
        </w:rPr>
        <w:t>.</w:t>
      </w:r>
    </w:p>
    <w:p w14:paraId="24E5C285" w14:textId="08FB3286" w:rsidR="00207CB8" w:rsidRDefault="00207CB8" w:rsidP="00207CB8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Discussion of allocations by activity type</w:t>
      </w:r>
    </w:p>
    <w:p w14:paraId="5055050D" w14:textId="5670AB81" w:rsidR="005C7BFC" w:rsidRDefault="005C7BFC" w:rsidP="005C7BF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Confirmed resource allocation is 5%. S. Kelly mentioned</w:t>
      </w:r>
      <w:r w:rsidR="00C872E8">
        <w:rPr>
          <w:sz w:val="24"/>
          <w:szCs w:val="24"/>
        </w:rPr>
        <w:t xml:space="preserve"> </w:t>
      </w:r>
      <w:r w:rsidR="003E2083">
        <w:rPr>
          <w:sz w:val="24"/>
          <w:szCs w:val="24"/>
        </w:rPr>
        <w:t xml:space="preserve">coordinating </w:t>
      </w:r>
      <w:r w:rsidR="00C872E8">
        <w:rPr>
          <w:sz w:val="24"/>
          <w:szCs w:val="24"/>
        </w:rPr>
        <w:t>meetings with the programs and giving feedb</w:t>
      </w:r>
      <w:r w:rsidR="003E2083">
        <w:rPr>
          <w:sz w:val="24"/>
          <w:szCs w:val="24"/>
        </w:rPr>
        <w:t>ack on how to</w:t>
      </w:r>
      <w:r w:rsidR="004A4EFC">
        <w:rPr>
          <w:sz w:val="24"/>
          <w:szCs w:val="24"/>
        </w:rPr>
        <w:t xml:space="preserve"> filter proposals. S. Kelly mentioned</w:t>
      </w:r>
      <w:r w:rsidR="00C872E8">
        <w:rPr>
          <w:sz w:val="24"/>
          <w:szCs w:val="24"/>
        </w:rPr>
        <w:t xml:space="preserve"> routing </w:t>
      </w:r>
      <w:r w:rsidR="004A4EFC">
        <w:rPr>
          <w:sz w:val="24"/>
          <w:szCs w:val="24"/>
        </w:rPr>
        <w:t>proposals to CIS and then the funding would be distributed to the appropriate</w:t>
      </w:r>
      <w:r w:rsidR="00C872E8">
        <w:rPr>
          <w:sz w:val="24"/>
          <w:szCs w:val="24"/>
        </w:rPr>
        <w:t xml:space="preserve"> program</w:t>
      </w:r>
      <w:r w:rsidR="004A4EFC">
        <w:rPr>
          <w:sz w:val="24"/>
          <w:szCs w:val="24"/>
        </w:rPr>
        <w:t>s</w:t>
      </w:r>
      <w:r w:rsidR="00C872E8">
        <w:rPr>
          <w:sz w:val="24"/>
          <w:szCs w:val="24"/>
        </w:rPr>
        <w:t>.</w:t>
      </w:r>
    </w:p>
    <w:p w14:paraId="1DF72B6E" w14:textId="3D991103" w:rsidR="00863B6D" w:rsidRDefault="00863B6D" w:rsidP="005C7BF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IRA # 1189: </w:t>
      </w:r>
      <w:r w:rsidRPr="00863B6D">
        <w:rPr>
          <w:sz w:val="24"/>
          <w:szCs w:val="24"/>
        </w:rPr>
        <w:t>La Mezcla Pachuquismo Stage Performance</w:t>
      </w:r>
    </w:p>
    <w:p w14:paraId="1A9CF8C3" w14:textId="758A1059" w:rsidR="003A2D83" w:rsidRPr="005B712B" w:rsidRDefault="004A4EFC" w:rsidP="005B712B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K. England requested clarification if Nic Centino (Proposal Sponsor) would conduct the administrative and logistics of the proposal.</w:t>
      </w:r>
      <w:r w:rsidR="00136CCB">
        <w:rPr>
          <w:sz w:val="24"/>
          <w:szCs w:val="24"/>
        </w:rPr>
        <w:t xml:space="preserve"> K. Englan</w:t>
      </w:r>
      <w:r w:rsidR="00954504">
        <w:rPr>
          <w:sz w:val="24"/>
          <w:szCs w:val="24"/>
        </w:rPr>
        <w:t xml:space="preserve">d expressed his concern </w:t>
      </w:r>
      <w:r w:rsidR="008C157C">
        <w:rPr>
          <w:sz w:val="24"/>
          <w:szCs w:val="24"/>
        </w:rPr>
        <w:t>regarding workload for an individual</w:t>
      </w:r>
      <w:r w:rsidR="00136CCB">
        <w:rPr>
          <w:sz w:val="24"/>
          <w:szCs w:val="24"/>
        </w:rPr>
        <w:t xml:space="preserve">. M. Staufenbeil </w:t>
      </w:r>
      <w:r>
        <w:rPr>
          <w:sz w:val="24"/>
          <w:szCs w:val="24"/>
        </w:rPr>
        <w:t xml:space="preserve">commented the request form submitted for this proposal includes the </w:t>
      </w:r>
      <w:r w:rsidR="00954504">
        <w:rPr>
          <w:sz w:val="24"/>
          <w:szCs w:val="24"/>
        </w:rPr>
        <w:t>program chair and Dean but fails to mention the administrator responsible for the logistics of the proposal</w:t>
      </w:r>
      <w:r w:rsidR="00136CCB">
        <w:rPr>
          <w:sz w:val="24"/>
          <w:szCs w:val="24"/>
        </w:rPr>
        <w:t xml:space="preserve">. </w:t>
      </w:r>
    </w:p>
    <w:p w14:paraId="0378C02E" w14:textId="6E44DB86" w:rsidR="003A2D83" w:rsidRDefault="003A2D83" w:rsidP="003A2D83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S. Kelly proposed approving </w:t>
      </w:r>
      <w:r w:rsidR="00954504">
        <w:rPr>
          <w:sz w:val="24"/>
          <w:szCs w:val="24"/>
        </w:rPr>
        <w:t xml:space="preserve">only </w:t>
      </w:r>
      <w:r>
        <w:rPr>
          <w:sz w:val="24"/>
          <w:szCs w:val="24"/>
        </w:rPr>
        <w:t>$7,500 for this proposal. B. Ruiz seconded. All Approved.</w:t>
      </w:r>
    </w:p>
    <w:p w14:paraId="62A69A37" w14:textId="5B4D6D04" w:rsidR="00954504" w:rsidRPr="00136CCB" w:rsidRDefault="00954504" w:rsidP="00954504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S. Kelly mentioned in addition to the approval amount also </w:t>
      </w:r>
      <w:r>
        <w:rPr>
          <w:sz w:val="24"/>
          <w:szCs w:val="24"/>
        </w:rPr>
        <w:lastRenderedPageBreak/>
        <w:t>including feedback on the funding approved by the IRA committee.</w:t>
      </w:r>
    </w:p>
    <w:p w14:paraId="4F36291B" w14:textId="282EFFA5" w:rsidR="006F3B97" w:rsidRDefault="006F3B97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2A0D8C1" w14:textId="77777777" w:rsidR="005B6090" w:rsidRDefault="005B6090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668806F3" w14:textId="49ABD0E4" w:rsidR="007F6D1D" w:rsidRDefault="007F6D1D" w:rsidP="007F6D1D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Finalize discussion / vote on allocation to SRIRS-related proposals</w:t>
      </w:r>
    </w:p>
    <w:p w14:paraId="5F7994BE" w14:textId="145A0477" w:rsidR="00BC2D0B" w:rsidRDefault="00BC2D0B" w:rsidP="00BC2D0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Corrected amount is $61,640 for total requested by group</w:t>
      </w:r>
    </w:p>
    <w:p w14:paraId="21BE7DD6" w14:textId="4C90BF67" w:rsidR="00136CCB" w:rsidRPr="00BF7DC0" w:rsidRDefault="00954504" w:rsidP="00136CCB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Committee reviewed amount from last week.</w:t>
      </w:r>
    </w:p>
    <w:p w14:paraId="4D662095" w14:textId="680B9DCB" w:rsidR="007F6D1D" w:rsidRDefault="007F6D1D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BDFED1D" w14:textId="468E671C" w:rsidR="009A4A52" w:rsidRPr="00BF7DC0" w:rsidRDefault="00B744BD" w:rsidP="009A4A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4A52">
        <w:rPr>
          <w:sz w:val="24"/>
          <w:szCs w:val="24"/>
        </w:rPr>
        <w:t>Discussion of alloca</w:t>
      </w:r>
      <w:r w:rsidR="00D52484">
        <w:rPr>
          <w:sz w:val="24"/>
          <w:szCs w:val="24"/>
        </w:rPr>
        <w:t>tions</w:t>
      </w:r>
      <w:r w:rsidR="005B6090">
        <w:rPr>
          <w:sz w:val="24"/>
          <w:szCs w:val="24"/>
        </w:rPr>
        <w:t xml:space="preserve"> by activity type for two (2) </w:t>
      </w:r>
      <w:r w:rsidR="00D52484">
        <w:rPr>
          <w:sz w:val="24"/>
          <w:szCs w:val="24"/>
        </w:rPr>
        <w:t xml:space="preserve">of our </w:t>
      </w:r>
      <w:r w:rsidR="005B6090">
        <w:rPr>
          <w:sz w:val="24"/>
          <w:szCs w:val="24"/>
        </w:rPr>
        <w:t xml:space="preserve">remaining </w:t>
      </w:r>
      <w:r w:rsidR="009A4A52">
        <w:rPr>
          <w:sz w:val="24"/>
          <w:szCs w:val="24"/>
        </w:rPr>
        <w:t xml:space="preserve">four </w:t>
      </w:r>
      <w:r w:rsidR="005B6090">
        <w:rPr>
          <w:sz w:val="24"/>
          <w:szCs w:val="24"/>
        </w:rPr>
        <w:t xml:space="preserve">(4) </w:t>
      </w:r>
      <w:r w:rsidR="009A4A52">
        <w:rPr>
          <w:sz w:val="24"/>
          <w:szCs w:val="24"/>
        </w:rPr>
        <w:t>categories</w:t>
      </w:r>
      <w:r w:rsidR="00D52484">
        <w:rPr>
          <w:sz w:val="24"/>
          <w:szCs w:val="24"/>
        </w:rPr>
        <w:t>:</w:t>
      </w:r>
    </w:p>
    <w:p w14:paraId="18984C47" w14:textId="3AD5AED4" w:rsidR="009A4A52" w:rsidRDefault="009A4A52" w:rsidP="009A4A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“PA” = Performing Arts</w:t>
      </w:r>
    </w:p>
    <w:p w14:paraId="264B845B" w14:textId="00B9E517" w:rsidR="00D65605" w:rsidRDefault="00B744BD" w:rsidP="00D65605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“FT” = Field Trips / Domestic Travel</w:t>
      </w:r>
    </w:p>
    <w:p w14:paraId="769665F7" w14:textId="6C21CB1A" w:rsidR="00D65605" w:rsidRDefault="00D65605" w:rsidP="00D65605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V. Kumar </w:t>
      </w:r>
      <w:r w:rsidR="005C3C8B">
        <w:rPr>
          <w:sz w:val="24"/>
          <w:szCs w:val="24"/>
        </w:rPr>
        <w:t>commented getting the programs to come in during a meeting and providing them feedback on the expectations for proposals.</w:t>
      </w:r>
      <w:r>
        <w:rPr>
          <w:sz w:val="24"/>
          <w:szCs w:val="24"/>
        </w:rPr>
        <w:t xml:space="preserve"> </w:t>
      </w:r>
      <w:r w:rsidR="005C3C8B">
        <w:rPr>
          <w:sz w:val="24"/>
          <w:szCs w:val="24"/>
        </w:rPr>
        <w:t>A. Skinner mentioned</w:t>
      </w:r>
      <w:r w:rsidR="00F70D93">
        <w:rPr>
          <w:sz w:val="24"/>
          <w:szCs w:val="24"/>
        </w:rPr>
        <w:t xml:space="preserve"> proposing a hybrid for the proposal process. This </w:t>
      </w:r>
      <w:r w:rsidR="00954504">
        <w:rPr>
          <w:sz w:val="24"/>
          <w:szCs w:val="24"/>
        </w:rPr>
        <w:t>would</w:t>
      </w:r>
      <w:r w:rsidR="00F70D93">
        <w:rPr>
          <w:sz w:val="24"/>
          <w:szCs w:val="24"/>
        </w:rPr>
        <w:t xml:space="preserve"> provide time for the programs </w:t>
      </w:r>
      <w:r w:rsidR="005C3C8B">
        <w:rPr>
          <w:sz w:val="24"/>
          <w:szCs w:val="24"/>
        </w:rPr>
        <w:t xml:space="preserve">preparation for the administrative work related to the proposals. </w:t>
      </w:r>
    </w:p>
    <w:p w14:paraId="2F72ECDF" w14:textId="67BC0FA2" w:rsidR="00F70D93" w:rsidRDefault="00F70D93" w:rsidP="00F70D93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S.</w:t>
      </w:r>
      <w:r w:rsidR="00954504">
        <w:rPr>
          <w:sz w:val="24"/>
          <w:szCs w:val="24"/>
        </w:rPr>
        <w:t xml:space="preserve"> Kelly totaled all of the “FT” proposals and</w:t>
      </w:r>
      <w:r>
        <w:rPr>
          <w:sz w:val="24"/>
          <w:szCs w:val="24"/>
        </w:rPr>
        <w:t xml:space="preserve"> </w:t>
      </w:r>
      <w:r w:rsidR="00954504">
        <w:rPr>
          <w:sz w:val="24"/>
          <w:szCs w:val="24"/>
        </w:rPr>
        <w:t>the allocated amount</w:t>
      </w:r>
      <w:r>
        <w:rPr>
          <w:sz w:val="24"/>
          <w:szCs w:val="24"/>
        </w:rPr>
        <w:t xml:space="preserve"> </w:t>
      </w:r>
      <w:r w:rsidR="00954504">
        <w:rPr>
          <w:sz w:val="24"/>
          <w:szCs w:val="24"/>
        </w:rPr>
        <w:t>was</w:t>
      </w:r>
      <w:r>
        <w:rPr>
          <w:sz w:val="24"/>
          <w:szCs w:val="24"/>
        </w:rPr>
        <w:t xml:space="preserve"> approximately $55,384. $35,000 of the $55,384 comes from UNIV 391: Environmental Policy in Alaska.</w:t>
      </w:r>
    </w:p>
    <w:p w14:paraId="69D470FA" w14:textId="77777777" w:rsidR="00F70D93" w:rsidRPr="00F70D93" w:rsidRDefault="00F70D93" w:rsidP="003F7620">
      <w:pPr>
        <w:pStyle w:val="BodyText"/>
        <w:tabs>
          <w:tab w:val="left" w:pos="1220"/>
        </w:tabs>
        <w:spacing w:line="256" w:lineRule="auto"/>
        <w:ind w:left="2840" w:right="214" w:firstLine="0"/>
        <w:rPr>
          <w:sz w:val="24"/>
          <w:szCs w:val="24"/>
        </w:rPr>
      </w:pPr>
    </w:p>
    <w:p w14:paraId="5FA82081" w14:textId="6779A326" w:rsidR="005B6090" w:rsidRDefault="005B6090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4225F531" w14:textId="1B7CFDB5" w:rsidR="00D52484" w:rsidRPr="00BF7DC0" w:rsidRDefault="005B6090" w:rsidP="00D52484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2484">
        <w:rPr>
          <w:sz w:val="24"/>
          <w:szCs w:val="24"/>
        </w:rPr>
        <w:t xml:space="preserve">Discussion of allocations by activity type </w:t>
      </w:r>
      <w:r>
        <w:rPr>
          <w:sz w:val="24"/>
          <w:szCs w:val="24"/>
        </w:rPr>
        <w:t>for the last two (2) remaining categories:</w:t>
      </w:r>
    </w:p>
    <w:p w14:paraId="7CA271A2" w14:textId="3688E066" w:rsidR="00D52484" w:rsidRDefault="00D52484" w:rsidP="00D52484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“GS” = Guest Speakers</w:t>
      </w:r>
    </w:p>
    <w:p w14:paraId="7EEE3ED8" w14:textId="64E4E08D" w:rsidR="00D52484" w:rsidRDefault="00D52484" w:rsidP="00D52484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“O” = Other (e.g. Sustainability at CI)</w:t>
      </w:r>
    </w:p>
    <w:p w14:paraId="72D2104B" w14:textId="57381DF4" w:rsidR="00E76CC8" w:rsidRDefault="00E76CC8" w:rsidP="005C7BF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IRA 1160: Sustainability at CI</w:t>
      </w:r>
    </w:p>
    <w:p w14:paraId="0305E50C" w14:textId="5483A8C2" w:rsidR="005C7BFC" w:rsidRPr="005C7BFC" w:rsidRDefault="005C7BFC" w:rsidP="00E76CC8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S. Kelly proposed to deny funds for sustainability</w:t>
      </w:r>
      <w:r w:rsidR="00C949CD">
        <w:rPr>
          <w:sz w:val="24"/>
          <w:szCs w:val="24"/>
        </w:rPr>
        <w:t xml:space="preserve"> at CI</w:t>
      </w:r>
      <w:r>
        <w:rPr>
          <w:sz w:val="24"/>
          <w:szCs w:val="24"/>
        </w:rPr>
        <w:t>. B. Ruiz seconded. All approved</w:t>
      </w:r>
      <w:r w:rsidR="00E76CC8">
        <w:rPr>
          <w:sz w:val="24"/>
          <w:szCs w:val="24"/>
        </w:rPr>
        <w:t xml:space="preserve"> to deny proposal</w:t>
      </w:r>
      <w:r w:rsidR="0051025D">
        <w:rPr>
          <w:sz w:val="24"/>
          <w:szCs w:val="24"/>
        </w:rPr>
        <w:t xml:space="preserve"> IRA# 1160</w:t>
      </w:r>
      <w:r>
        <w:rPr>
          <w:sz w:val="24"/>
          <w:szCs w:val="24"/>
        </w:rPr>
        <w:t>.</w:t>
      </w:r>
    </w:p>
    <w:p w14:paraId="5D9BA598" w14:textId="59696AF4" w:rsidR="001522CB" w:rsidRDefault="001522CB" w:rsidP="0051025D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C390129" w14:textId="77777777" w:rsidR="00D617BA" w:rsidRPr="001522CB" w:rsidRDefault="00D617BA" w:rsidP="0051025D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760D9AA7" w14:textId="3DA5B33A" w:rsidR="007B1207" w:rsidRDefault="007A64AF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BF7DC0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D85B03" w:rsidRPr="00BF7DC0">
        <w:rPr>
          <w:sz w:val="24"/>
          <w:szCs w:val="24"/>
        </w:rPr>
        <w:t>Other business and meeting adjournment</w:t>
      </w:r>
    </w:p>
    <w:p w14:paraId="5C096B80" w14:textId="706DE1B7" w:rsidR="00954504" w:rsidRDefault="00954504" w:rsidP="00D65605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M. Stau</w:t>
      </w:r>
      <w:r w:rsidRPr="005B712B">
        <w:rPr>
          <w:sz w:val="24"/>
          <w:szCs w:val="24"/>
        </w:rPr>
        <w:t xml:space="preserve">fenbeil mentions going through </w:t>
      </w:r>
      <w:r>
        <w:rPr>
          <w:sz w:val="24"/>
          <w:szCs w:val="24"/>
        </w:rPr>
        <w:t>the proposals and pulling out proposals with red flags before directing them to the associated programs.</w:t>
      </w:r>
    </w:p>
    <w:p w14:paraId="054E11B9" w14:textId="56EE1D5A" w:rsidR="00F70D93" w:rsidRDefault="00F70D93" w:rsidP="00D65605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K. England proposed to</w:t>
      </w:r>
      <w:r w:rsidR="0051025D">
        <w:rPr>
          <w:sz w:val="24"/>
          <w:szCs w:val="24"/>
        </w:rPr>
        <w:t xml:space="preserve"> organize a calendar with D. Daniels</w:t>
      </w:r>
      <w:r>
        <w:rPr>
          <w:sz w:val="24"/>
          <w:szCs w:val="24"/>
        </w:rPr>
        <w:t xml:space="preserve"> that would illustrate what the new IRA</w:t>
      </w:r>
      <w:r w:rsidR="0051025D">
        <w:rPr>
          <w:sz w:val="24"/>
          <w:szCs w:val="24"/>
        </w:rPr>
        <w:t xml:space="preserve"> budget would depict.</w:t>
      </w:r>
      <w:r>
        <w:rPr>
          <w:sz w:val="24"/>
          <w:szCs w:val="24"/>
        </w:rPr>
        <w:t xml:space="preserve"> </w:t>
      </w:r>
    </w:p>
    <w:p w14:paraId="4F5E564B" w14:textId="0634605B" w:rsidR="00D65605" w:rsidRPr="00BF7DC0" w:rsidRDefault="00D65605" w:rsidP="00D65605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B. Ruiz adjourned meeting at </w:t>
      </w:r>
      <w:r w:rsidR="003F7620">
        <w:rPr>
          <w:sz w:val="24"/>
          <w:szCs w:val="24"/>
        </w:rPr>
        <w:t>9:02 AM.</w:t>
      </w:r>
    </w:p>
    <w:p w14:paraId="18D9931C" w14:textId="77777777" w:rsidR="007B1207" w:rsidRPr="00BF7DC0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sectPr w:rsidR="007B1207" w:rsidRPr="00BF7DC0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A79FE"/>
    <w:rsid w:val="000C17CB"/>
    <w:rsid w:val="000C7EAE"/>
    <w:rsid w:val="001043E5"/>
    <w:rsid w:val="00120258"/>
    <w:rsid w:val="00136CCB"/>
    <w:rsid w:val="00140D6B"/>
    <w:rsid w:val="001522CB"/>
    <w:rsid w:val="00163B9B"/>
    <w:rsid w:val="001B509A"/>
    <w:rsid w:val="001C2417"/>
    <w:rsid w:val="001C3836"/>
    <w:rsid w:val="001E12BB"/>
    <w:rsid w:val="001F4542"/>
    <w:rsid w:val="00207CB8"/>
    <w:rsid w:val="00230C6F"/>
    <w:rsid w:val="00261B22"/>
    <w:rsid w:val="00276DB2"/>
    <w:rsid w:val="00312588"/>
    <w:rsid w:val="00316A64"/>
    <w:rsid w:val="00386BCC"/>
    <w:rsid w:val="00390096"/>
    <w:rsid w:val="00391A30"/>
    <w:rsid w:val="003A2D83"/>
    <w:rsid w:val="003A6758"/>
    <w:rsid w:val="003B52B4"/>
    <w:rsid w:val="003C54F6"/>
    <w:rsid w:val="003E2083"/>
    <w:rsid w:val="003E20B6"/>
    <w:rsid w:val="003F7620"/>
    <w:rsid w:val="0044047D"/>
    <w:rsid w:val="00445DF5"/>
    <w:rsid w:val="0045504F"/>
    <w:rsid w:val="004A4EFC"/>
    <w:rsid w:val="004A7D08"/>
    <w:rsid w:val="004D0D6E"/>
    <w:rsid w:val="004D2198"/>
    <w:rsid w:val="004D6CA4"/>
    <w:rsid w:val="0051025D"/>
    <w:rsid w:val="00542777"/>
    <w:rsid w:val="005604D0"/>
    <w:rsid w:val="00562366"/>
    <w:rsid w:val="00566E30"/>
    <w:rsid w:val="005734B3"/>
    <w:rsid w:val="005826BC"/>
    <w:rsid w:val="00594FF6"/>
    <w:rsid w:val="005B6090"/>
    <w:rsid w:val="005B712B"/>
    <w:rsid w:val="005C3C8B"/>
    <w:rsid w:val="005C7BFC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6F3B97"/>
    <w:rsid w:val="00711ABF"/>
    <w:rsid w:val="00713B59"/>
    <w:rsid w:val="007174BF"/>
    <w:rsid w:val="00741F08"/>
    <w:rsid w:val="00791634"/>
    <w:rsid w:val="00793CB3"/>
    <w:rsid w:val="007A41AB"/>
    <w:rsid w:val="007A64AF"/>
    <w:rsid w:val="007B1207"/>
    <w:rsid w:val="007B186E"/>
    <w:rsid w:val="007F3F86"/>
    <w:rsid w:val="007F6D1D"/>
    <w:rsid w:val="0082772B"/>
    <w:rsid w:val="00835645"/>
    <w:rsid w:val="00835C21"/>
    <w:rsid w:val="00846E16"/>
    <w:rsid w:val="00861E4E"/>
    <w:rsid w:val="00863B6D"/>
    <w:rsid w:val="00871C28"/>
    <w:rsid w:val="008754A2"/>
    <w:rsid w:val="008C157C"/>
    <w:rsid w:val="008D167F"/>
    <w:rsid w:val="008F14FF"/>
    <w:rsid w:val="008F647F"/>
    <w:rsid w:val="00950742"/>
    <w:rsid w:val="00954504"/>
    <w:rsid w:val="00976586"/>
    <w:rsid w:val="009A4A52"/>
    <w:rsid w:val="00A4019C"/>
    <w:rsid w:val="00A40418"/>
    <w:rsid w:val="00A42243"/>
    <w:rsid w:val="00A437AF"/>
    <w:rsid w:val="00A81546"/>
    <w:rsid w:val="00A968BF"/>
    <w:rsid w:val="00AE405D"/>
    <w:rsid w:val="00AF527B"/>
    <w:rsid w:val="00AF71E5"/>
    <w:rsid w:val="00B10D12"/>
    <w:rsid w:val="00B532EA"/>
    <w:rsid w:val="00B743B0"/>
    <w:rsid w:val="00B744BD"/>
    <w:rsid w:val="00B7673E"/>
    <w:rsid w:val="00B86F11"/>
    <w:rsid w:val="00B93B18"/>
    <w:rsid w:val="00BB3D2C"/>
    <w:rsid w:val="00BC2D0B"/>
    <w:rsid w:val="00BF15B3"/>
    <w:rsid w:val="00BF7DC0"/>
    <w:rsid w:val="00C34A79"/>
    <w:rsid w:val="00C473A5"/>
    <w:rsid w:val="00C61A3E"/>
    <w:rsid w:val="00C872E8"/>
    <w:rsid w:val="00C9151F"/>
    <w:rsid w:val="00C949CD"/>
    <w:rsid w:val="00CA4AC5"/>
    <w:rsid w:val="00CB1517"/>
    <w:rsid w:val="00CB4C64"/>
    <w:rsid w:val="00CE23B4"/>
    <w:rsid w:val="00CF1B30"/>
    <w:rsid w:val="00D268FD"/>
    <w:rsid w:val="00D50581"/>
    <w:rsid w:val="00D52484"/>
    <w:rsid w:val="00D617BA"/>
    <w:rsid w:val="00D65605"/>
    <w:rsid w:val="00D76ACE"/>
    <w:rsid w:val="00D85B03"/>
    <w:rsid w:val="00DB3517"/>
    <w:rsid w:val="00DD505B"/>
    <w:rsid w:val="00DE4D92"/>
    <w:rsid w:val="00E024C3"/>
    <w:rsid w:val="00E54C36"/>
    <w:rsid w:val="00E73EE8"/>
    <w:rsid w:val="00E76CC8"/>
    <w:rsid w:val="00E90D15"/>
    <w:rsid w:val="00EA7BCF"/>
    <w:rsid w:val="00EC65A7"/>
    <w:rsid w:val="00EE5383"/>
    <w:rsid w:val="00F22660"/>
    <w:rsid w:val="00F26044"/>
    <w:rsid w:val="00F54856"/>
    <w:rsid w:val="00F64AEA"/>
    <w:rsid w:val="00F65313"/>
    <w:rsid w:val="00F70D93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David</dc:creator>
  <cp:lastModifiedBy>Daniels, David</cp:lastModifiedBy>
  <cp:revision>3</cp:revision>
  <dcterms:created xsi:type="dcterms:W3CDTF">2019-04-24T20:31:00Z</dcterms:created>
  <dcterms:modified xsi:type="dcterms:W3CDTF">2019-04-26T21:04:00Z</dcterms:modified>
</cp:coreProperties>
</file>