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3C55" w14:textId="77777777" w:rsidR="00E8495F" w:rsidRDefault="00C51B67">
      <w:pPr>
        <w:pStyle w:val="Title"/>
      </w:pPr>
      <w:r>
        <w:t>Web Accessibility Implementation Plan 2025–2030</w:t>
      </w:r>
    </w:p>
    <w:p w14:paraId="422F37DC" w14:textId="77777777" w:rsidR="00E8495F" w:rsidRDefault="00C51B67">
      <w:pPr>
        <w:jc w:val="center"/>
      </w:pPr>
      <w:r>
        <w:t>California State University Channel Islands</w:t>
      </w:r>
      <w:r>
        <w:br/>
      </w:r>
      <w:r>
        <w:br/>
        <w:t>Aligned with CSU ATI Coded Memo (March 2021), Executive Order 1111, WCAG 2.2 AA, and ADA Title II (2024)</w:t>
      </w:r>
    </w:p>
    <w:p w14:paraId="287EC87E" w14:textId="77777777" w:rsidR="00E8495F" w:rsidRDefault="00C51B67">
      <w:r>
        <w:br w:type="page"/>
      </w:r>
    </w:p>
    <w:p w14:paraId="22DE4DE3" w14:textId="77777777" w:rsidR="00E8495F" w:rsidRDefault="00C51B67">
      <w:pPr>
        <w:pStyle w:val="Heading1"/>
      </w:pPr>
      <w:r>
        <w:lastRenderedPageBreak/>
        <w:t>Table of Contents</w:t>
      </w:r>
    </w:p>
    <w:p w14:paraId="455EB536" w14:textId="77777777" w:rsidR="00E8495F" w:rsidRDefault="00C51B67">
      <w:pPr>
        <w:pStyle w:val="ListNumber"/>
      </w:pPr>
      <w:r>
        <w:t>Overview</w:t>
      </w:r>
    </w:p>
    <w:p w14:paraId="5D5AB7D9" w14:textId="77777777" w:rsidR="00E8495F" w:rsidRDefault="00C51B67">
      <w:pPr>
        <w:pStyle w:val="ListNumber"/>
      </w:pPr>
      <w:r>
        <w:t>Definitions</w:t>
      </w:r>
    </w:p>
    <w:p w14:paraId="7C4BFADC" w14:textId="77777777" w:rsidR="00E8495F" w:rsidRDefault="00C51B67">
      <w:pPr>
        <w:pStyle w:val="ListNumber"/>
      </w:pPr>
      <w:r>
        <w:t>Scope</w:t>
      </w:r>
    </w:p>
    <w:p w14:paraId="09E3D3DE" w14:textId="77777777" w:rsidR="00E8495F" w:rsidRDefault="00C51B67">
      <w:pPr>
        <w:pStyle w:val="ListNumber"/>
      </w:pPr>
      <w:r>
        <w:t>ATI Goals, Maturity Model, and Alignment</w:t>
      </w:r>
    </w:p>
    <w:p w14:paraId="0443AE90" w14:textId="77777777" w:rsidR="00E8495F" w:rsidRDefault="00C51B67">
      <w:pPr>
        <w:pStyle w:val="ListNumber"/>
      </w:pPr>
      <w:r>
        <w:t>Evaluation, Monitoring &amp; Remediation (ATI Goal 1)</w:t>
      </w:r>
    </w:p>
    <w:p w14:paraId="338C85A8" w14:textId="77777777" w:rsidR="00E8495F" w:rsidRDefault="00C51B67">
      <w:pPr>
        <w:pStyle w:val="ListNumber"/>
      </w:pPr>
      <w:r>
        <w:t>Accountability &amp; Documentation (ATI Goal 2)</w:t>
      </w:r>
    </w:p>
    <w:p w14:paraId="30F0527A" w14:textId="77777777" w:rsidR="00E8495F" w:rsidRDefault="00C51B67">
      <w:pPr>
        <w:pStyle w:val="ListNumber"/>
      </w:pPr>
      <w:r>
        <w:t>Accessible Design &amp; Authoring for New Sites &amp; Apps (ATI Goal 3)</w:t>
      </w:r>
    </w:p>
    <w:p w14:paraId="0E98E100" w14:textId="77777777" w:rsidR="00E8495F" w:rsidRDefault="00C51B67">
      <w:pPr>
        <w:pStyle w:val="ListNumber"/>
      </w:pPr>
      <w:r>
        <w:t>Alternatives &amp; Exemptions (EEAAP) (ATI Goal 4)</w:t>
      </w:r>
    </w:p>
    <w:p w14:paraId="19FC65D7" w14:textId="77777777" w:rsidR="00E8495F" w:rsidRDefault="00C51B67">
      <w:pPr>
        <w:pStyle w:val="ListNumber"/>
      </w:pPr>
      <w:r>
        <w:t>Complaint &amp; Accommodation Process (ATI Goal 5)</w:t>
      </w:r>
    </w:p>
    <w:p w14:paraId="02DB9C5C" w14:textId="77777777" w:rsidR="00E8495F" w:rsidRDefault="00C51B67">
      <w:pPr>
        <w:pStyle w:val="ListNumber"/>
      </w:pPr>
      <w:r>
        <w:t>Communication Plan (ATI Goal 6)</w:t>
      </w:r>
    </w:p>
    <w:p w14:paraId="3E0A3230" w14:textId="77777777" w:rsidR="00E8495F" w:rsidRDefault="00C51B67">
      <w:pPr>
        <w:pStyle w:val="ListNumber"/>
      </w:pPr>
      <w:r>
        <w:t>Administrative Process &amp; Governance (ATI Goal 7)</w:t>
      </w:r>
    </w:p>
    <w:p w14:paraId="28344132" w14:textId="77777777" w:rsidR="00E8495F" w:rsidRDefault="00C51B67">
      <w:pPr>
        <w:pStyle w:val="ListNumber"/>
      </w:pPr>
      <w:r>
        <w:t>Plan Metrics (KPIs)</w:t>
      </w:r>
    </w:p>
    <w:p w14:paraId="77B5D8E7" w14:textId="77777777" w:rsidR="00E8495F" w:rsidRDefault="00C51B67">
      <w:pPr>
        <w:pStyle w:val="ListNumber"/>
      </w:pPr>
      <w:r>
        <w:t>Plan Tasks</w:t>
      </w:r>
    </w:p>
    <w:p w14:paraId="164F0989" w14:textId="77777777" w:rsidR="00E8495F" w:rsidRDefault="00C51B67">
      <w:pPr>
        <w:pStyle w:val="ListNumber"/>
      </w:pPr>
      <w:r>
        <w:t>About This Document</w:t>
      </w:r>
    </w:p>
    <w:p w14:paraId="712D8ABC" w14:textId="77777777" w:rsidR="00E8495F" w:rsidRDefault="00C51B67">
      <w:pPr>
        <w:pStyle w:val="ListNumber"/>
      </w:pPr>
      <w:r>
        <w:t>Appendix (Forms, References)</w:t>
      </w:r>
    </w:p>
    <w:p w14:paraId="7B303073" w14:textId="77777777" w:rsidR="00E8495F" w:rsidRDefault="00C51B67">
      <w:r>
        <w:br w:type="page"/>
      </w:r>
    </w:p>
    <w:p w14:paraId="02BFAA2F" w14:textId="77777777" w:rsidR="00E8495F" w:rsidRDefault="00C51B67">
      <w:pPr>
        <w:pStyle w:val="Heading1"/>
      </w:pPr>
      <w:r>
        <w:lastRenderedPageBreak/>
        <w:t>Overview</w:t>
      </w:r>
    </w:p>
    <w:p w14:paraId="0DF0910A" w14:textId="77777777" w:rsidR="00E8495F" w:rsidRDefault="00C51B67">
      <w:r>
        <w:t>This plan defines CSU Channel Islands’ (CSUCI) implementation of the Accessible Technology Initiative (ATI) for 2025–2030. It aligns with CSU Executive Order 1111, the ATI Coded Memo (March 2021), WCAG 2.2 AA, and the ADA Title II Web &amp; Mobile Accessibility Rule (2024). The plan is reviewed annually by ITS and incorporated into CSUCI’s ATI self-assessment report submitted to the Chancellor’s Office.</w:t>
      </w:r>
    </w:p>
    <w:p w14:paraId="60F8D672" w14:textId="77777777" w:rsidR="00E8495F" w:rsidRDefault="00C51B67">
      <w:pPr>
        <w:pStyle w:val="Heading1"/>
      </w:pPr>
      <w:r>
        <w:t>Definitions</w:t>
      </w:r>
    </w:p>
    <w:p w14:paraId="4547AB88" w14:textId="77777777" w:rsidR="00E8495F" w:rsidRDefault="00C51B67">
      <w:r>
        <w:t>Website/Web content, Mobile apps, Acceptably accessible, Assistive Technology, Web sponsor, Editors.</w:t>
      </w:r>
    </w:p>
    <w:p w14:paraId="698C4B42" w14:textId="77777777" w:rsidR="00E8495F" w:rsidRDefault="00C51B67">
      <w:pPr>
        <w:pStyle w:val="Heading1"/>
      </w:pPr>
      <w:r>
        <w:t>Scope</w:t>
      </w:r>
    </w:p>
    <w:p w14:paraId="46300E6C" w14:textId="77777777" w:rsidR="00E8495F" w:rsidRDefault="00C51B67">
      <w:r>
        <w:t>In-scope: CSUCI public-facing websites under csuci.edu, CSUCI-branded mobile apps, non-instructional web applications, official documents and media.</w:t>
      </w:r>
    </w:p>
    <w:p w14:paraId="3CA63135" w14:textId="77777777" w:rsidR="00E8495F" w:rsidRDefault="00C51B67">
      <w:r>
        <w:t>Out of scope (covered under ATI Priority 2): Instructional materials, Canvas, library databases, personal/faculty/student/research sites.</w:t>
      </w:r>
    </w:p>
    <w:p w14:paraId="4EBA8E47" w14:textId="77777777" w:rsidR="00E8495F" w:rsidRDefault="00C51B67">
      <w:pPr>
        <w:pStyle w:val="Heading1"/>
      </w:pPr>
      <w:r>
        <w:t>ATI Goals, Maturity Model, and Alignment</w:t>
      </w:r>
    </w:p>
    <w:p w14:paraId="65F11355" w14:textId="77777777" w:rsidR="00E8495F" w:rsidRDefault="00C51B67">
      <w:r>
        <w:t>The ATI Coded Memo (2021) establishes a capabilities maturity model (Not Started → Initial → Defined → Established → Optimized). CSUCI will track maturity by goal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E8495F" w14:paraId="0EC2581F" w14:textId="77777777" w:rsidTr="00C51B67">
        <w:tc>
          <w:tcPr>
            <w:tcW w:w="2160" w:type="dxa"/>
          </w:tcPr>
          <w:p w14:paraId="6C7F800A" w14:textId="77777777" w:rsidR="00E8495F" w:rsidRDefault="00C51B67">
            <w:r>
              <w:t>ATI Goal Area</w:t>
            </w:r>
          </w:p>
        </w:tc>
        <w:tc>
          <w:tcPr>
            <w:tcW w:w="2160" w:type="dxa"/>
          </w:tcPr>
          <w:p w14:paraId="725FE981" w14:textId="77777777" w:rsidR="00E8495F" w:rsidRDefault="00C51B67">
            <w:r>
              <w:t>CSUCI Plan Section</w:t>
            </w:r>
          </w:p>
        </w:tc>
        <w:tc>
          <w:tcPr>
            <w:tcW w:w="2160" w:type="dxa"/>
          </w:tcPr>
          <w:p w14:paraId="648DED07" w14:textId="77777777" w:rsidR="00E8495F" w:rsidRDefault="00C51B67">
            <w:r>
              <w:t>2025 Baseline</w:t>
            </w:r>
          </w:p>
        </w:tc>
        <w:tc>
          <w:tcPr>
            <w:tcW w:w="2160" w:type="dxa"/>
          </w:tcPr>
          <w:p w14:paraId="33CB066D" w14:textId="77777777" w:rsidR="00E8495F" w:rsidRDefault="00C51B67">
            <w:r>
              <w:t>2030 Target</w:t>
            </w:r>
          </w:p>
        </w:tc>
      </w:tr>
      <w:tr w:rsidR="00E8495F" w14:paraId="21AE2756" w14:textId="77777777" w:rsidTr="00C51B67">
        <w:tc>
          <w:tcPr>
            <w:tcW w:w="2160" w:type="dxa"/>
          </w:tcPr>
          <w:p w14:paraId="50BB4C8A" w14:textId="77777777" w:rsidR="00E8495F" w:rsidRDefault="00C51B67">
            <w:r>
              <w:t>Goal 1: Evaluation &amp; Monitoring</w:t>
            </w:r>
          </w:p>
        </w:tc>
        <w:tc>
          <w:tcPr>
            <w:tcW w:w="2160" w:type="dxa"/>
          </w:tcPr>
          <w:p w14:paraId="3C743B93" w14:textId="77777777" w:rsidR="00E8495F" w:rsidRDefault="00C51B67">
            <w:r>
              <w:t>Evaluation, Monitoring &amp; Remediation</w:t>
            </w:r>
          </w:p>
        </w:tc>
        <w:tc>
          <w:tcPr>
            <w:tcW w:w="2160" w:type="dxa"/>
          </w:tcPr>
          <w:p w14:paraId="521E5064" w14:textId="77777777" w:rsidR="00E8495F" w:rsidRDefault="00C51B67">
            <w:r>
              <w:t>Established</w:t>
            </w:r>
          </w:p>
        </w:tc>
        <w:tc>
          <w:tcPr>
            <w:tcW w:w="2160" w:type="dxa"/>
          </w:tcPr>
          <w:p w14:paraId="6FFEEBEF" w14:textId="77777777" w:rsidR="00E8495F" w:rsidRDefault="00C51B67">
            <w:r>
              <w:t>Optimized</w:t>
            </w:r>
          </w:p>
        </w:tc>
      </w:tr>
      <w:tr w:rsidR="00E8495F" w14:paraId="1AF015B6" w14:textId="77777777" w:rsidTr="00C51B67">
        <w:tc>
          <w:tcPr>
            <w:tcW w:w="2160" w:type="dxa"/>
          </w:tcPr>
          <w:p w14:paraId="3127DD4B" w14:textId="77777777" w:rsidR="00E8495F" w:rsidRDefault="00C51B67">
            <w:r>
              <w:t>Goal 2: Accountability</w:t>
            </w:r>
          </w:p>
        </w:tc>
        <w:tc>
          <w:tcPr>
            <w:tcW w:w="2160" w:type="dxa"/>
          </w:tcPr>
          <w:p w14:paraId="616151EC" w14:textId="77777777" w:rsidR="00E8495F" w:rsidRDefault="00C51B67">
            <w:r>
              <w:t>Accountability &amp; Documentation</w:t>
            </w:r>
          </w:p>
        </w:tc>
        <w:tc>
          <w:tcPr>
            <w:tcW w:w="2160" w:type="dxa"/>
          </w:tcPr>
          <w:p w14:paraId="6D90B61B" w14:textId="77777777" w:rsidR="00E8495F" w:rsidRDefault="00C51B67">
            <w:r>
              <w:t>Established</w:t>
            </w:r>
          </w:p>
        </w:tc>
        <w:tc>
          <w:tcPr>
            <w:tcW w:w="2160" w:type="dxa"/>
          </w:tcPr>
          <w:p w14:paraId="63A70ECF" w14:textId="77777777" w:rsidR="00E8495F" w:rsidRDefault="00C51B67">
            <w:r>
              <w:t>Optimized</w:t>
            </w:r>
          </w:p>
        </w:tc>
      </w:tr>
      <w:tr w:rsidR="00E8495F" w14:paraId="6A6B1A78" w14:textId="77777777" w:rsidTr="00C51B67">
        <w:tc>
          <w:tcPr>
            <w:tcW w:w="2160" w:type="dxa"/>
          </w:tcPr>
          <w:p w14:paraId="077D99EC" w14:textId="77777777" w:rsidR="00E8495F" w:rsidRDefault="00C51B67">
            <w:r>
              <w:t>Goal 3: Accessible Design</w:t>
            </w:r>
          </w:p>
        </w:tc>
        <w:tc>
          <w:tcPr>
            <w:tcW w:w="2160" w:type="dxa"/>
          </w:tcPr>
          <w:p w14:paraId="7886AC0D" w14:textId="77777777" w:rsidR="00E8495F" w:rsidRDefault="00C51B67">
            <w:r>
              <w:t>Accessible Design &amp; Authoring</w:t>
            </w:r>
          </w:p>
        </w:tc>
        <w:tc>
          <w:tcPr>
            <w:tcW w:w="2160" w:type="dxa"/>
          </w:tcPr>
          <w:p w14:paraId="61836D33" w14:textId="77777777" w:rsidR="00E8495F" w:rsidRDefault="00C51B67">
            <w:r>
              <w:t>Defined</w:t>
            </w:r>
          </w:p>
        </w:tc>
        <w:tc>
          <w:tcPr>
            <w:tcW w:w="2160" w:type="dxa"/>
          </w:tcPr>
          <w:p w14:paraId="0A012EBF" w14:textId="77777777" w:rsidR="00E8495F" w:rsidRDefault="00C51B67">
            <w:r>
              <w:t>Established</w:t>
            </w:r>
          </w:p>
        </w:tc>
      </w:tr>
      <w:tr w:rsidR="00E8495F" w14:paraId="160AE09E" w14:textId="77777777" w:rsidTr="00C51B67">
        <w:tc>
          <w:tcPr>
            <w:tcW w:w="2160" w:type="dxa"/>
          </w:tcPr>
          <w:p w14:paraId="29E35991" w14:textId="77777777" w:rsidR="00E8495F" w:rsidRDefault="00C51B67">
            <w:r>
              <w:t>Goal 4: Alternatives &amp; Exemptions</w:t>
            </w:r>
          </w:p>
        </w:tc>
        <w:tc>
          <w:tcPr>
            <w:tcW w:w="2160" w:type="dxa"/>
          </w:tcPr>
          <w:p w14:paraId="11EFDFB4" w14:textId="77777777" w:rsidR="00E8495F" w:rsidRDefault="00C51B67">
            <w:r>
              <w:t>EEAAP</w:t>
            </w:r>
          </w:p>
        </w:tc>
        <w:tc>
          <w:tcPr>
            <w:tcW w:w="2160" w:type="dxa"/>
          </w:tcPr>
          <w:p w14:paraId="3A65AF91" w14:textId="77777777" w:rsidR="00E8495F" w:rsidRDefault="00C51B67">
            <w:r>
              <w:t>Established</w:t>
            </w:r>
          </w:p>
        </w:tc>
        <w:tc>
          <w:tcPr>
            <w:tcW w:w="2160" w:type="dxa"/>
          </w:tcPr>
          <w:p w14:paraId="6A0D29D6" w14:textId="77777777" w:rsidR="00E8495F" w:rsidRDefault="00C51B67">
            <w:r>
              <w:t>Optimized</w:t>
            </w:r>
          </w:p>
        </w:tc>
      </w:tr>
      <w:tr w:rsidR="00E8495F" w14:paraId="564E68EC" w14:textId="77777777" w:rsidTr="00C51B67">
        <w:tc>
          <w:tcPr>
            <w:tcW w:w="2160" w:type="dxa"/>
          </w:tcPr>
          <w:p w14:paraId="3A57DA20" w14:textId="77777777" w:rsidR="00E8495F" w:rsidRDefault="00C51B67">
            <w:r>
              <w:t>Goal 5: Accommodation Process</w:t>
            </w:r>
          </w:p>
        </w:tc>
        <w:tc>
          <w:tcPr>
            <w:tcW w:w="2160" w:type="dxa"/>
          </w:tcPr>
          <w:p w14:paraId="5757D777" w14:textId="77777777" w:rsidR="00E8495F" w:rsidRDefault="00C51B67">
            <w:r>
              <w:t>Complaint Process</w:t>
            </w:r>
          </w:p>
        </w:tc>
        <w:tc>
          <w:tcPr>
            <w:tcW w:w="2160" w:type="dxa"/>
          </w:tcPr>
          <w:p w14:paraId="5FF1C1E7" w14:textId="77777777" w:rsidR="00E8495F" w:rsidRDefault="00C51B67">
            <w:r>
              <w:t>Established</w:t>
            </w:r>
          </w:p>
        </w:tc>
        <w:tc>
          <w:tcPr>
            <w:tcW w:w="2160" w:type="dxa"/>
          </w:tcPr>
          <w:p w14:paraId="58A8944E" w14:textId="77777777" w:rsidR="00E8495F" w:rsidRDefault="00C51B67">
            <w:r>
              <w:t>Optimized</w:t>
            </w:r>
          </w:p>
        </w:tc>
      </w:tr>
      <w:tr w:rsidR="00E8495F" w14:paraId="4B74AE44" w14:textId="77777777" w:rsidTr="00C51B67">
        <w:tc>
          <w:tcPr>
            <w:tcW w:w="2160" w:type="dxa"/>
          </w:tcPr>
          <w:p w14:paraId="191C17DA" w14:textId="77777777" w:rsidR="00E8495F" w:rsidRDefault="00C51B67">
            <w:r>
              <w:t xml:space="preserve">Goal 6: </w:t>
            </w:r>
            <w:r>
              <w:lastRenderedPageBreak/>
              <w:t>Communication</w:t>
            </w:r>
          </w:p>
        </w:tc>
        <w:tc>
          <w:tcPr>
            <w:tcW w:w="2160" w:type="dxa"/>
          </w:tcPr>
          <w:p w14:paraId="65CBD22C" w14:textId="77777777" w:rsidR="00E8495F" w:rsidRDefault="00C51B67">
            <w:r>
              <w:lastRenderedPageBreak/>
              <w:t xml:space="preserve">Communication </w:t>
            </w:r>
            <w:r>
              <w:lastRenderedPageBreak/>
              <w:t>Plan</w:t>
            </w:r>
          </w:p>
        </w:tc>
        <w:tc>
          <w:tcPr>
            <w:tcW w:w="2160" w:type="dxa"/>
          </w:tcPr>
          <w:p w14:paraId="574AC2DE" w14:textId="77777777" w:rsidR="00E8495F" w:rsidRDefault="00C51B67">
            <w:r>
              <w:lastRenderedPageBreak/>
              <w:t>Defined</w:t>
            </w:r>
          </w:p>
        </w:tc>
        <w:tc>
          <w:tcPr>
            <w:tcW w:w="2160" w:type="dxa"/>
          </w:tcPr>
          <w:p w14:paraId="6A22932A" w14:textId="77777777" w:rsidR="00E8495F" w:rsidRDefault="00C51B67">
            <w:r>
              <w:t>Established</w:t>
            </w:r>
          </w:p>
        </w:tc>
      </w:tr>
      <w:tr w:rsidR="00E8495F" w14:paraId="5749317C" w14:textId="77777777" w:rsidTr="00C51B67">
        <w:tc>
          <w:tcPr>
            <w:tcW w:w="2160" w:type="dxa"/>
          </w:tcPr>
          <w:p w14:paraId="564E31C8" w14:textId="77777777" w:rsidR="00E8495F" w:rsidRDefault="00C51B67">
            <w:r>
              <w:t>Goal 7: Administrative &amp; Governance</w:t>
            </w:r>
          </w:p>
        </w:tc>
        <w:tc>
          <w:tcPr>
            <w:tcW w:w="2160" w:type="dxa"/>
          </w:tcPr>
          <w:p w14:paraId="10D89FA6" w14:textId="77777777" w:rsidR="00E8495F" w:rsidRDefault="00C51B67">
            <w:r>
              <w:t>Governance &amp; Metrics</w:t>
            </w:r>
          </w:p>
        </w:tc>
        <w:tc>
          <w:tcPr>
            <w:tcW w:w="2160" w:type="dxa"/>
          </w:tcPr>
          <w:p w14:paraId="61715C8C" w14:textId="77777777" w:rsidR="00E8495F" w:rsidRDefault="00C51B67">
            <w:r>
              <w:t>Established</w:t>
            </w:r>
          </w:p>
        </w:tc>
        <w:tc>
          <w:tcPr>
            <w:tcW w:w="2160" w:type="dxa"/>
          </w:tcPr>
          <w:p w14:paraId="54F85E5E" w14:textId="77777777" w:rsidR="00E8495F" w:rsidRDefault="00C51B67">
            <w:r>
              <w:t>Optimized</w:t>
            </w:r>
          </w:p>
        </w:tc>
      </w:tr>
    </w:tbl>
    <w:p w14:paraId="2DFC4D1F" w14:textId="77777777" w:rsidR="00E8495F" w:rsidRDefault="00C51B67">
      <w:pPr>
        <w:pStyle w:val="Heading1"/>
      </w:pPr>
      <w:r>
        <w:t>Evaluation, Monitoring &amp; Remediation (ATI Goal 1)</w:t>
      </w:r>
    </w:p>
    <w:p w14:paraId="43276764" w14:textId="77777777" w:rsidR="00E8495F" w:rsidRDefault="00C51B67">
      <w:r>
        <w:t>Monthly automated scans and quarterly manual AT testing. Database of sites/sponsors updated annually. Prioritization based on traffic, complaints, and ease of repair. Documented timelines for fixes; &gt;30-day repairs require executive sign-off.</w:t>
      </w:r>
      <w:r>
        <w:br/>
      </w:r>
      <w:r>
        <w:br/>
        <w:t>Maturity Path: By 2030, CSUCI will have an automated continuous monitoring dashboard tied to division accountability.</w:t>
      </w:r>
    </w:p>
    <w:p w14:paraId="59B64BF5" w14:textId="77777777" w:rsidR="00E8495F" w:rsidRDefault="00C51B67">
      <w:pPr>
        <w:pStyle w:val="Heading1"/>
      </w:pPr>
      <w:r>
        <w:t>Plan Metrics (KPIs)</w:t>
      </w:r>
    </w:p>
    <w:p w14:paraId="418CCDAC" w14:textId="77777777" w:rsidR="00E8495F" w:rsidRDefault="00C51B67">
      <w:r>
        <w:t>Aligned with ATI self-assessment categories.</w:t>
      </w:r>
    </w:p>
    <w:p w14:paraId="51BB06E4" w14:textId="77777777" w:rsidR="00E8495F" w:rsidRDefault="00C51B67">
      <w:pPr>
        <w:pStyle w:val="Heading2"/>
      </w:pPr>
      <w:r>
        <w:t>Goal 1 (Evaluation – Web Accessibility Evaluation Process)</w:t>
      </w:r>
    </w:p>
    <w:p w14:paraId="0F0436A4" w14:textId="77777777" w:rsidR="00E8495F" w:rsidRDefault="00C51B67">
      <w:pPr>
        <w:pStyle w:val="ListBullet"/>
      </w:pPr>
      <w:r>
        <w:t>% of high-traffic pages conforming to WCAG 2.2 AA</w:t>
      </w:r>
    </w:p>
    <w:p w14:paraId="2FB0F4F1" w14:textId="77777777" w:rsidR="00E8495F" w:rsidRDefault="00C51B67">
      <w:pPr>
        <w:pStyle w:val="ListBullet"/>
      </w:pPr>
      <w:r>
        <w:t>Average time-to-fix by severity</w:t>
      </w:r>
    </w:p>
    <w:p w14:paraId="32B18058" w14:textId="77777777" w:rsidR="00E8495F" w:rsidRDefault="00C51B67">
      <w:pPr>
        <w:pStyle w:val="ListBullet"/>
      </w:pPr>
      <w:r>
        <w:t># of manual AT spot checks per quarter</w:t>
      </w:r>
    </w:p>
    <w:p w14:paraId="5E956BAF" w14:textId="77777777" w:rsidR="00E8495F" w:rsidRDefault="00C51B67">
      <w:pPr>
        <w:pStyle w:val="Heading2"/>
      </w:pPr>
      <w:r>
        <w:t>Goal 2 (Accountability &amp; Documentation)</w:t>
      </w:r>
    </w:p>
    <w:p w14:paraId="25510FDD" w14:textId="77777777" w:rsidR="00E8495F" w:rsidRDefault="00C51B67">
      <w:pPr>
        <w:pStyle w:val="ListBullet"/>
      </w:pPr>
      <w:r>
        <w:t>% of sites/apps with current sponsor/editor in database</w:t>
      </w:r>
    </w:p>
    <w:p w14:paraId="31DA4B5B" w14:textId="77777777" w:rsidR="00E8495F" w:rsidRDefault="00C51B67">
      <w:pPr>
        <w:pStyle w:val="ListBullet"/>
      </w:pPr>
      <w:r>
        <w:t># of removals for non-compliance</w:t>
      </w:r>
    </w:p>
    <w:p w14:paraId="1E89B322" w14:textId="77777777" w:rsidR="00E8495F" w:rsidRDefault="00C51B67">
      <w:pPr>
        <w:pStyle w:val="ListBullet"/>
      </w:pPr>
      <w:r>
        <w:t># of executive-approved repair extensions</w:t>
      </w:r>
    </w:p>
    <w:p w14:paraId="23A9E75C" w14:textId="77777777" w:rsidR="00E8495F" w:rsidRDefault="00C51B67">
      <w:pPr>
        <w:pStyle w:val="Heading2"/>
      </w:pPr>
      <w:r>
        <w:t>Goal 3 (New Development – Accessible Design &amp; Authoring)</w:t>
      </w:r>
    </w:p>
    <w:p w14:paraId="481D7D41" w14:textId="77777777" w:rsidR="00E8495F" w:rsidRDefault="00C51B67">
      <w:pPr>
        <w:pStyle w:val="ListBullet"/>
      </w:pPr>
      <w:r>
        <w:t>% of new pages using accessible components</w:t>
      </w:r>
    </w:p>
    <w:p w14:paraId="2E5AEF5F" w14:textId="77777777" w:rsidR="00E8495F" w:rsidRDefault="00C51B67">
      <w:pPr>
        <w:pStyle w:val="ListBullet"/>
      </w:pPr>
      <w:r>
        <w:t># of editors completing accessibility training</w:t>
      </w:r>
    </w:p>
    <w:p w14:paraId="719DD14C" w14:textId="77777777" w:rsidR="00E8495F" w:rsidRDefault="00C51B67">
      <w:pPr>
        <w:pStyle w:val="ListBullet"/>
      </w:pPr>
      <w:r>
        <w:t>% of procured ICT products reviewed with VPAT/ACR</w:t>
      </w:r>
    </w:p>
    <w:p w14:paraId="4E733CE1" w14:textId="77777777" w:rsidR="00E8495F" w:rsidRDefault="00C51B67">
      <w:pPr>
        <w:pStyle w:val="Heading2"/>
      </w:pPr>
      <w:r>
        <w:t>Goal 4 (EEAAP – Alternatives &amp; Exemptions)</w:t>
      </w:r>
    </w:p>
    <w:p w14:paraId="35F36FB6" w14:textId="77777777" w:rsidR="00E8495F" w:rsidRDefault="00C51B67">
      <w:pPr>
        <w:pStyle w:val="ListBullet"/>
      </w:pPr>
      <w:r>
        <w:t># of active vs. expired EEAAPs</w:t>
      </w:r>
    </w:p>
    <w:p w14:paraId="57116924" w14:textId="77777777" w:rsidR="00E8495F" w:rsidRDefault="00C51B67">
      <w:pPr>
        <w:pStyle w:val="ListBullet"/>
      </w:pPr>
      <w:r>
        <w:t>% of EEAAPs reviewed within 6 months</w:t>
      </w:r>
    </w:p>
    <w:p w14:paraId="51FB639E" w14:textId="77777777" w:rsidR="00E8495F" w:rsidRDefault="00C51B67">
      <w:pPr>
        <w:pStyle w:val="ListBullet"/>
      </w:pPr>
      <w:r>
        <w:t>% of ICT procurements requiring EEAAP</w:t>
      </w:r>
    </w:p>
    <w:p w14:paraId="34298090" w14:textId="77777777" w:rsidR="00E8495F" w:rsidRDefault="00C51B67">
      <w:pPr>
        <w:pStyle w:val="Heading2"/>
      </w:pPr>
      <w:r>
        <w:t>Goal 5 (Complaint/Accommodation Process)</w:t>
      </w:r>
    </w:p>
    <w:p w14:paraId="3735D7D3" w14:textId="77777777" w:rsidR="00E8495F" w:rsidRDefault="00C51B67">
      <w:pPr>
        <w:pStyle w:val="ListBullet"/>
      </w:pPr>
      <w:r>
        <w:t>Average resolution time</w:t>
      </w:r>
    </w:p>
    <w:p w14:paraId="27A58661" w14:textId="77777777" w:rsidR="00E8495F" w:rsidRDefault="00C51B67">
      <w:pPr>
        <w:pStyle w:val="ListBullet"/>
      </w:pPr>
      <w:r>
        <w:t>% of escalated cases resolved within SLA</w:t>
      </w:r>
    </w:p>
    <w:p w14:paraId="14211115" w14:textId="77777777" w:rsidR="00E8495F" w:rsidRDefault="00C51B67">
      <w:pPr>
        <w:pStyle w:val="ListBullet"/>
      </w:pPr>
      <w:r>
        <w:t>User satisfaction (post-ticket survey)</w:t>
      </w:r>
    </w:p>
    <w:p w14:paraId="5398FDF0" w14:textId="77777777" w:rsidR="00E8495F" w:rsidRDefault="00C51B67">
      <w:pPr>
        <w:pStyle w:val="Heading2"/>
      </w:pPr>
      <w:r>
        <w:lastRenderedPageBreak/>
        <w:t>Goal 6 (Communication)</w:t>
      </w:r>
    </w:p>
    <w:p w14:paraId="2F52B994" w14:textId="77777777" w:rsidR="00E8495F" w:rsidRDefault="00C51B67">
      <w:pPr>
        <w:pStyle w:val="ListBullet"/>
      </w:pPr>
      <w:r>
        <w:t># of monthly bulletins to editors</w:t>
      </w:r>
    </w:p>
    <w:p w14:paraId="13A630FE" w14:textId="77777777" w:rsidR="00E8495F" w:rsidRDefault="00C51B67">
      <w:pPr>
        <w:pStyle w:val="ListBullet"/>
      </w:pPr>
      <w:r>
        <w:t># of quarterly sponsor briefings</w:t>
      </w:r>
    </w:p>
    <w:p w14:paraId="69B24C06" w14:textId="77777777" w:rsidR="00E8495F" w:rsidRDefault="00C51B67">
      <w:pPr>
        <w:pStyle w:val="ListBullet"/>
      </w:pPr>
      <w:r>
        <w:t>Annual campus-wide compliance notice (Y/N)</w:t>
      </w:r>
    </w:p>
    <w:p w14:paraId="781B7484" w14:textId="77777777" w:rsidR="00E8495F" w:rsidRDefault="00C51B67">
      <w:pPr>
        <w:pStyle w:val="Heading2"/>
      </w:pPr>
      <w:r>
        <w:t>Goal 7 (Governance – Administrative Process)</w:t>
      </w:r>
    </w:p>
    <w:p w14:paraId="5051F333" w14:textId="77777777" w:rsidR="00E8495F" w:rsidRDefault="00C51B67">
      <w:pPr>
        <w:pStyle w:val="ListBullet"/>
      </w:pPr>
      <w:r>
        <w:t>% of divisions with Accessibility POC</w:t>
      </w:r>
    </w:p>
    <w:p w14:paraId="72EBC01E" w14:textId="77777777" w:rsidR="00E8495F" w:rsidRDefault="00C51B67">
      <w:pPr>
        <w:pStyle w:val="ListBullet"/>
      </w:pPr>
      <w:r>
        <w:t># of governance meetings held</w:t>
      </w:r>
    </w:p>
    <w:p w14:paraId="593641DF" w14:textId="77777777" w:rsidR="00E8495F" w:rsidRDefault="00C51B67">
      <w:pPr>
        <w:pStyle w:val="ListBullet"/>
      </w:pPr>
      <w:r>
        <w:t>Annual ATI self-assessment submitted (Y/N)</w:t>
      </w:r>
    </w:p>
    <w:p w14:paraId="1189F556" w14:textId="77777777" w:rsidR="00E8495F" w:rsidRDefault="00C51B67">
      <w:pPr>
        <w:pStyle w:val="Heading1"/>
      </w:pPr>
      <w:r>
        <w:t>About This Document</w:t>
      </w:r>
    </w:p>
    <w:p w14:paraId="7495983D" w14:textId="77777777" w:rsidR="00E8495F" w:rsidRDefault="00C51B67">
      <w:r>
        <w:t>Approved by: Assistant Vice President for ITS and ATI Executive Sponsor</w:t>
      </w:r>
      <w:r>
        <w:br/>
      </w:r>
      <w:r>
        <w:br/>
        <w:t>Version History:</w:t>
      </w:r>
      <w:r>
        <w:br/>
        <w:t>1.0 (2019): Initial plan 2019–2023</w:t>
      </w:r>
      <w:r>
        <w:br/>
        <w:t>2.0 (2025): Comprehensive revision aligning with ATI Coded Memo 2021, WCAG 2.2, and ADA Title II (2024).</w:t>
      </w:r>
    </w:p>
    <w:p w14:paraId="29FE5E9D" w14:textId="77777777" w:rsidR="00E8495F" w:rsidRDefault="00C51B67">
      <w:pPr>
        <w:pStyle w:val="Heading1"/>
      </w:pPr>
      <w:r>
        <w:t>Approval Signatures</w:t>
      </w:r>
    </w:p>
    <w:p w14:paraId="1E8069A8" w14:textId="77777777" w:rsidR="00E8495F" w:rsidRDefault="00C51B67">
      <w:r>
        <w:br/>
        <w:t>_____________________________</w:t>
      </w:r>
      <w:r>
        <w:br/>
        <w:t>Assistant Vice President for ITS, ATI Executive Sponsor</w:t>
      </w:r>
      <w:r>
        <w:br/>
      </w:r>
      <w:r>
        <w:br/>
      </w:r>
    </w:p>
    <w:p w14:paraId="3F62037C" w14:textId="77777777" w:rsidR="00E8495F" w:rsidRDefault="00C51B67">
      <w:r>
        <w:br/>
        <w:t>_____________________________</w:t>
      </w:r>
      <w:r>
        <w:br/>
        <w:t>Division Executive Representative</w:t>
      </w:r>
      <w:r>
        <w:br/>
      </w:r>
      <w:r>
        <w:br/>
      </w:r>
    </w:p>
    <w:p w14:paraId="2E2C8164" w14:textId="77777777" w:rsidR="00E8495F" w:rsidRDefault="00C51B67">
      <w:r>
        <w:br/>
        <w:t>_____________________________</w:t>
      </w:r>
      <w:r>
        <w:br/>
        <w:t>President or Designee</w:t>
      </w:r>
      <w:r>
        <w:br/>
      </w:r>
      <w:r>
        <w:br/>
      </w:r>
    </w:p>
    <w:sectPr w:rsidR="00E8495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97947673">
    <w:abstractNumId w:val="8"/>
  </w:num>
  <w:num w:numId="2" w16cid:durableId="809321418">
    <w:abstractNumId w:val="6"/>
  </w:num>
  <w:num w:numId="3" w16cid:durableId="779225298">
    <w:abstractNumId w:val="5"/>
  </w:num>
  <w:num w:numId="4" w16cid:durableId="182399274">
    <w:abstractNumId w:val="4"/>
  </w:num>
  <w:num w:numId="5" w16cid:durableId="428426423">
    <w:abstractNumId w:val="7"/>
  </w:num>
  <w:num w:numId="6" w16cid:durableId="1190988338">
    <w:abstractNumId w:val="3"/>
  </w:num>
  <w:num w:numId="7" w16cid:durableId="340788282">
    <w:abstractNumId w:val="2"/>
  </w:num>
  <w:num w:numId="8" w16cid:durableId="1863279461">
    <w:abstractNumId w:val="1"/>
  </w:num>
  <w:num w:numId="9" w16cid:durableId="1000887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34C7"/>
    <w:rsid w:val="0015074B"/>
    <w:rsid w:val="001C40B9"/>
    <w:rsid w:val="0029639D"/>
    <w:rsid w:val="00326F90"/>
    <w:rsid w:val="004B20E7"/>
    <w:rsid w:val="007C6057"/>
    <w:rsid w:val="007F5EC9"/>
    <w:rsid w:val="00817D84"/>
    <w:rsid w:val="009C28F6"/>
    <w:rsid w:val="00A9257C"/>
    <w:rsid w:val="00AA1D8D"/>
    <w:rsid w:val="00B47730"/>
    <w:rsid w:val="00C0297D"/>
    <w:rsid w:val="00C51B67"/>
    <w:rsid w:val="00CB0664"/>
    <w:rsid w:val="00E8495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BC57D4"/>
  <w14:defaultImageDpi w14:val="300"/>
  <w15:docId w15:val="{8CFBB5B3-8E26-4E41-A3DE-ABE8AEB8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611</Words>
  <Characters>3789</Characters>
  <Application>Microsoft Office Word</Application>
  <DocSecurity>0</DocSecurity>
  <Lines>122</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Ramachandra, Asha</cp:lastModifiedBy>
  <cp:revision>6</cp:revision>
  <dcterms:created xsi:type="dcterms:W3CDTF">2025-09-30T17:59:00Z</dcterms:created>
  <dcterms:modified xsi:type="dcterms:W3CDTF">2025-10-22T20:36:00Z</dcterms:modified>
  <cp:category/>
</cp:coreProperties>
</file>