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5DB1A" w14:textId="77777777" w:rsidR="00CD7A0C" w:rsidRDefault="006811AF" w:rsidP="004866CD">
      <w:pPr>
        <w:pStyle w:val="Heading1"/>
      </w:pPr>
      <w:r w:rsidRPr="005F5980">
        <w:t xml:space="preserve">Service Level Agreement </w:t>
      </w:r>
      <w:r>
        <w:t xml:space="preserve">(SLA) </w:t>
      </w:r>
      <w:r w:rsidR="00375483">
        <w:t>o</w:t>
      </w:r>
      <w:r w:rsidRPr="005F5980">
        <w:t xml:space="preserve">n </w:t>
      </w:r>
      <w:r w:rsidR="00375483">
        <w:t>t</w:t>
      </w:r>
      <w:r w:rsidRPr="005F5980">
        <w:t xml:space="preserve">he Evaluation </w:t>
      </w:r>
      <w:r w:rsidR="00375483">
        <w:t>a</w:t>
      </w:r>
      <w:r w:rsidRPr="005F5980">
        <w:t xml:space="preserve">nd Testing </w:t>
      </w:r>
      <w:r w:rsidR="00375483">
        <w:t>o</w:t>
      </w:r>
      <w:r w:rsidRPr="005F5980">
        <w:t xml:space="preserve">f </w:t>
      </w:r>
      <w:r w:rsidR="00375483">
        <w:t>Information Technology (IT)</w:t>
      </w:r>
      <w:r w:rsidRPr="005F5980">
        <w:t xml:space="preserve"> Products</w:t>
      </w:r>
      <w:r>
        <w:t xml:space="preserve"> and Services</w:t>
      </w:r>
    </w:p>
    <w:p w14:paraId="615359D2" w14:textId="77777777" w:rsidR="00CD7A0C" w:rsidRDefault="00CD7A0C" w:rsidP="00CD7A0C">
      <w:pPr>
        <w:rPr>
          <w:b/>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2"/>
        <w:gridCol w:w="3075"/>
        <w:gridCol w:w="3113"/>
      </w:tblGrid>
      <w:tr w:rsidR="005F5980" w:rsidRPr="005F5980" w14:paraId="5C382645" w14:textId="77777777" w:rsidTr="005F5980">
        <w:trPr>
          <w:trHeight w:val="293"/>
        </w:trPr>
        <w:tc>
          <w:tcPr>
            <w:tcW w:w="3192" w:type="dxa"/>
            <w:vMerge w:val="restart"/>
          </w:tcPr>
          <w:p w14:paraId="55A9C446" w14:textId="14A6C05C" w:rsidR="005F5980" w:rsidRPr="00DF72B0" w:rsidRDefault="005F5980" w:rsidP="00CD7A0C">
            <w:pPr>
              <w:tabs>
                <w:tab w:val="center" w:pos="4680"/>
                <w:tab w:val="right" w:pos="9360"/>
              </w:tabs>
              <w:rPr>
                <w:sz w:val="20"/>
                <w:szCs w:val="20"/>
              </w:rPr>
            </w:pPr>
            <w:r w:rsidRPr="00DF72B0">
              <w:rPr>
                <w:sz w:val="20"/>
                <w:szCs w:val="20"/>
              </w:rPr>
              <w:t xml:space="preserve">Prepared by: </w:t>
            </w:r>
            <w:r w:rsidR="00CD7A0C">
              <w:rPr>
                <w:sz w:val="20"/>
                <w:szCs w:val="20"/>
              </w:rPr>
              <w:t>Peter Mosinskis</w:t>
            </w:r>
            <w:r w:rsidR="00256F05">
              <w:rPr>
                <w:sz w:val="20"/>
                <w:szCs w:val="20"/>
              </w:rPr>
              <w:br/>
            </w:r>
            <w:hyperlink r:id="rId8" w:history="1">
              <w:r w:rsidR="00256F05" w:rsidRPr="003544A8">
                <w:rPr>
                  <w:rStyle w:val="Hyperlink"/>
                  <w:sz w:val="20"/>
                  <w:szCs w:val="20"/>
                </w:rPr>
                <w:t>peter.mosinskis@csuci.edu</w:t>
              </w:r>
            </w:hyperlink>
            <w:r w:rsidR="00256F05">
              <w:rPr>
                <w:sz w:val="20"/>
                <w:szCs w:val="20"/>
              </w:rPr>
              <w:t xml:space="preserve"> </w:t>
            </w:r>
            <w:bookmarkStart w:id="0" w:name="_GoBack"/>
            <w:bookmarkEnd w:id="0"/>
          </w:p>
        </w:tc>
        <w:tc>
          <w:tcPr>
            <w:tcW w:w="3192" w:type="dxa"/>
            <w:vMerge w:val="restart"/>
          </w:tcPr>
          <w:p w14:paraId="6CDB9C5A" w14:textId="77777777" w:rsidR="005F5980" w:rsidRPr="005F5980" w:rsidRDefault="005F5980" w:rsidP="005F5980">
            <w:pPr>
              <w:tabs>
                <w:tab w:val="center" w:pos="4680"/>
                <w:tab w:val="right" w:pos="9360"/>
              </w:tabs>
              <w:rPr>
                <w:sz w:val="24"/>
              </w:rPr>
            </w:pPr>
          </w:p>
        </w:tc>
        <w:tc>
          <w:tcPr>
            <w:tcW w:w="3192" w:type="dxa"/>
          </w:tcPr>
          <w:p w14:paraId="400A0A41" w14:textId="77777777" w:rsidR="005F5980" w:rsidRPr="00DF72B0" w:rsidRDefault="005F5980" w:rsidP="005F5980">
            <w:pPr>
              <w:tabs>
                <w:tab w:val="center" w:pos="4680"/>
                <w:tab w:val="right" w:pos="9360"/>
              </w:tabs>
              <w:rPr>
                <w:sz w:val="20"/>
                <w:szCs w:val="20"/>
              </w:rPr>
            </w:pPr>
            <w:r w:rsidRPr="00DF72B0">
              <w:rPr>
                <w:sz w:val="20"/>
                <w:szCs w:val="20"/>
              </w:rPr>
              <w:t>Created on:  04/14/</w:t>
            </w:r>
            <w:r w:rsidR="00CD7A0C">
              <w:rPr>
                <w:sz w:val="20"/>
                <w:szCs w:val="20"/>
              </w:rPr>
              <w:t>20</w:t>
            </w:r>
            <w:r w:rsidRPr="00DF72B0">
              <w:rPr>
                <w:sz w:val="20"/>
                <w:szCs w:val="20"/>
              </w:rPr>
              <w:t>09</w:t>
            </w:r>
          </w:p>
        </w:tc>
      </w:tr>
      <w:tr w:rsidR="005F5980" w:rsidRPr="005F5980" w14:paraId="310463CF" w14:textId="77777777" w:rsidTr="005F5980">
        <w:trPr>
          <w:trHeight w:val="292"/>
        </w:trPr>
        <w:tc>
          <w:tcPr>
            <w:tcW w:w="3192" w:type="dxa"/>
            <w:vMerge/>
          </w:tcPr>
          <w:p w14:paraId="712109EB" w14:textId="77777777" w:rsidR="005F5980" w:rsidRPr="005F5980" w:rsidRDefault="005F5980" w:rsidP="005F5980">
            <w:pPr>
              <w:tabs>
                <w:tab w:val="center" w:pos="4680"/>
                <w:tab w:val="right" w:pos="9360"/>
              </w:tabs>
              <w:rPr>
                <w:sz w:val="24"/>
              </w:rPr>
            </w:pPr>
          </w:p>
        </w:tc>
        <w:tc>
          <w:tcPr>
            <w:tcW w:w="3192" w:type="dxa"/>
            <w:vMerge/>
          </w:tcPr>
          <w:p w14:paraId="1B8668F2" w14:textId="77777777" w:rsidR="005F5980" w:rsidRPr="005F5980" w:rsidRDefault="005F5980" w:rsidP="005F5980">
            <w:pPr>
              <w:tabs>
                <w:tab w:val="center" w:pos="4680"/>
                <w:tab w:val="right" w:pos="9360"/>
              </w:tabs>
              <w:rPr>
                <w:sz w:val="24"/>
              </w:rPr>
            </w:pPr>
          </w:p>
        </w:tc>
        <w:tc>
          <w:tcPr>
            <w:tcW w:w="3192" w:type="dxa"/>
          </w:tcPr>
          <w:p w14:paraId="0E74C709" w14:textId="6026EA5C" w:rsidR="005F5980" w:rsidRPr="00DF72B0" w:rsidRDefault="005F5980" w:rsidP="00CD7A0C">
            <w:pPr>
              <w:tabs>
                <w:tab w:val="center" w:pos="4680"/>
                <w:tab w:val="right" w:pos="9360"/>
              </w:tabs>
              <w:rPr>
                <w:sz w:val="20"/>
                <w:szCs w:val="20"/>
              </w:rPr>
            </w:pPr>
            <w:r w:rsidRPr="00DF72B0">
              <w:rPr>
                <w:sz w:val="20"/>
                <w:szCs w:val="20"/>
              </w:rPr>
              <w:t xml:space="preserve">Last update: </w:t>
            </w:r>
            <w:r w:rsidR="00256F05">
              <w:rPr>
                <w:sz w:val="20"/>
                <w:szCs w:val="20"/>
              </w:rPr>
              <w:t>9/12/2019</w:t>
            </w:r>
          </w:p>
        </w:tc>
      </w:tr>
    </w:tbl>
    <w:p w14:paraId="1075D73E" w14:textId="77777777" w:rsidR="002D0D16" w:rsidRDefault="002D0D16" w:rsidP="002D0D16">
      <w:pPr>
        <w:pStyle w:val="Heading2"/>
      </w:pPr>
      <w:r>
        <w:t>Overview</w:t>
      </w:r>
    </w:p>
    <w:p w14:paraId="13CF0D3D" w14:textId="76BA1B24" w:rsidR="007A7D8E" w:rsidRDefault="002D0D16" w:rsidP="007A7D8E">
      <w:r>
        <w:t xml:space="preserve">This SLA describes processes and procedures that current </w:t>
      </w:r>
      <w:r w:rsidR="00E246D4">
        <w:t>information technology (IT)</w:t>
      </w:r>
      <w:r>
        <w:t xml:space="preserve"> staff follow to evaluate </w:t>
      </w:r>
      <w:r w:rsidR="00E246D4">
        <w:t xml:space="preserve">IT </w:t>
      </w:r>
      <w:r>
        <w:t xml:space="preserve">products and services to ensure compliance with CSU Accessible Technology Initiative (ATI) and Section 508 standards and accessible IT procurement practices.  </w:t>
      </w:r>
    </w:p>
    <w:p w14:paraId="093B9AFB" w14:textId="77777777" w:rsidR="007A7D8E" w:rsidRDefault="003A44A1" w:rsidP="004866CD">
      <w:pPr>
        <w:pStyle w:val="Heading2"/>
      </w:pPr>
      <w:r>
        <w:t>Affected Groups</w:t>
      </w:r>
    </w:p>
    <w:p w14:paraId="4EB53D0A" w14:textId="77777777" w:rsidR="005C6D1B" w:rsidRDefault="005C6D1B" w:rsidP="007A7D8E"/>
    <w:p w14:paraId="19F388C5" w14:textId="77777777" w:rsidR="005C6D1B" w:rsidRDefault="005C6D1B" w:rsidP="007A7D8E">
      <w:r>
        <w:t xml:space="preserve">This SLA applies to </w:t>
      </w:r>
      <w:r w:rsidR="004866CD">
        <w:t>the following individuals, groups and organizations:</w:t>
      </w:r>
    </w:p>
    <w:p w14:paraId="2ED2A2C4" w14:textId="77777777" w:rsidR="007A7D8E" w:rsidRDefault="007A7D8E" w:rsidP="007A7D8E"/>
    <w:p w14:paraId="61BB11B1" w14:textId="77777777" w:rsidR="007A7D8E" w:rsidRDefault="007A7D8E" w:rsidP="007A7D8E">
      <w:pPr>
        <w:numPr>
          <w:ilvl w:val="0"/>
          <w:numId w:val="17"/>
        </w:numPr>
      </w:pPr>
      <w:r w:rsidRPr="00375483">
        <w:rPr>
          <w:b/>
        </w:rPr>
        <w:t>Requestor</w:t>
      </w:r>
      <w:r w:rsidR="004866CD" w:rsidRPr="00375483">
        <w:rPr>
          <w:b/>
        </w:rPr>
        <w:t>s</w:t>
      </w:r>
      <w:r w:rsidR="004866CD">
        <w:t xml:space="preserve"> (any individual or </w:t>
      </w:r>
      <w:r w:rsidR="00375483">
        <w:t xml:space="preserve">University </w:t>
      </w:r>
      <w:r w:rsidR="004866CD">
        <w:t>organization requesting procurement of information technology-related products or services</w:t>
      </w:r>
      <w:r w:rsidR="00E754F5">
        <w:t>. Requestors also include any functional owner(s) of any existing IT-related product or service.</w:t>
      </w:r>
      <w:r w:rsidR="004866CD">
        <w:t>)</w:t>
      </w:r>
    </w:p>
    <w:p w14:paraId="60A2A0FE" w14:textId="77777777" w:rsidR="007A7D8E" w:rsidRDefault="007A7D8E" w:rsidP="004866CD">
      <w:pPr>
        <w:numPr>
          <w:ilvl w:val="0"/>
          <w:numId w:val="17"/>
        </w:numPr>
      </w:pPr>
      <w:r w:rsidRPr="00375483">
        <w:rPr>
          <w:b/>
        </w:rPr>
        <w:t>Vendor</w:t>
      </w:r>
      <w:r w:rsidR="004866CD" w:rsidRPr="00375483">
        <w:rPr>
          <w:b/>
        </w:rPr>
        <w:t>s</w:t>
      </w:r>
      <w:r w:rsidR="004866CD">
        <w:t xml:space="preserve"> (any vendor or 3</w:t>
      </w:r>
      <w:r w:rsidR="004866CD" w:rsidRPr="004866CD">
        <w:rPr>
          <w:vertAlign w:val="superscript"/>
        </w:rPr>
        <w:t>rd</w:t>
      </w:r>
      <w:r w:rsidR="004866CD">
        <w:t xml:space="preserve"> party that furnishes information technology-related products or services to the University)</w:t>
      </w:r>
    </w:p>
    <w:p w14:paraId="5A072D7A" w14:textId="707A0D52" w:rsidR="00375483" w:rsidRPr="00375483" w:rsidRDefault="00256F05" w:rsidP="00375483">
      <w:pPr>
        <w:numPr>
          <w:ilvl w:val="0"/>
          <w:numId w:val="17"/>
        </w:numPr>
        <w:rPr>
          <w:b/>
        </w:rPr>
      </w:pPr>
      <w:r>
        <w:rPr>
          <w:b/>
        </w:rPr>
        <w:t>Contracts &amp; Procurement Services</w:t>
      </w:r>
    </w:p>
    <w:p w14:paraId="60688F2A" w14:textId="7292559E" w:rsidR="00375483" w:rsidRPr="00375483" w:rsidRDefault="00256F05" w:rsidP="00375483">
      <w:pPr>
        <w:numPr>
          <w:ilvl w:val="0"/>
          <w:numId w:val="17"/>
        </w:numPr>
        <w:rPr>
          <w:b/>
        </w:rPr>
      </w:pPr>
      <w:r>
        <w:rPr>
          <w:b/>
        </w:rPr>
        <w:t>Information Technology Services (ITS)</w:t>
      </w:r>
    </w:p>
    <w:p w14:paraId="2649230A" w14:textId="77777777" w:rsidR="003A44A1" w:rsidRDefault="003A44A1" w:rsidP="003A44A1"/>
    <w:p w14:paraId="5ED1F5DF" w14:textId="77777777" w:rsidR="003A44A1" w:rsidRDefault="003A44A1" w:rsidP="003A44A1">
      <w:pPr>
        <w:pStyle w:val="Heading2"/>
      </w:pPr>
      <w:r>
        <w:t>Affected Products, Services and Systems</w:t>
      </w:r>
    </w:p>
    <w:p w14:paraId="37D2518A" w14:textId="77777777" w:rsidR="00E43D15" w:rsidRDefault="00E43D15" w:rsidP="00B02EC1"/>
    <w:p w14:paraId="1A8EF9B2" w14:textId="77777777" w:rsidR="004866CD" w:rsidRDefault="004866CD" w:rsidP="00B02EC1">
      <w:r>
        <w:t xml:space="preserve">This SLA </w:t>
      </w:r>
      <w:r w:rsidR="00E97DB9">
        <w:t>applies</w:t>
      </w:r>
      <w:r>
        <w:t xml:space="preserve"> to any </w:t>
      </w:r>
      <w:r w:rsidR="00375483">
        <w:t>IT</w:t>
      </w:r>
      <w:r w:rsidR="003A44A1">
        <w:t xml:space="preserve"> </w:t>
      </w:r>
      <w:r w:rsidR="00D43670">
        <w:t xml:space="preserve">products, </w:t>
      </w:r>
      <w:r>
        <w:t xml:space="preserve">services </w:t>
      </w:r>
      <w:r w:rsidR="00D43670">
        <w:t>or systems t</w:t>
      </w:r>
      <w:r w:rsidR="003A44A1">
        <w:t>hat</w:t>
      </w:r>
      <w:r>
        <w:t xml:space="preserve"> fall within </w:t>
      </w:r>
      <w:r w:rsidR="009B1458">
        <w:t>one or more of</w:t>
      </w:r>
      <w:r>
        <w:t xml:space="preserve"> </w:t>
      </w:r>
      <w:r w:rsidR="00D43670">
        <w:t xml:space="preserve">the </w:t>
      </w:r>
      <w:r>
        <w:t>fo</w:t>
      </w:r>
      <w:r w:rsidR="003A44A1">
        <w:t xml:space="preserve">llowing Section 508 categories: </w:t>
      </w:r>
    </w:p>
    <w:p w14:paraId="7A0DDDFA" w14:textId="77777777" w:rsidR="004866CD" w:rsidRDefault="004866CD" w:rsidP="00B02EC1"/>
    <w:p w14:paraId="0109C87E" w14:textId="77777777" w:rsidR="004866CD" w:rsidRDefault="004866CD" w:rsidP="00B02EC1">
      <w:pPr>
        <w:numPr>
          <w:ilvl w:val="0"/>
          <w:numId w:val="4"/>
        </w:numPr>
      </w:pPr>
      <w:r w:rsidRPr="004E255D">
        <w:rPr>
          <w:b/>
        </w:rPr>
        <w:t>Section 1194.21 Software Applications and Operating Systems.</w:t>
      </w:r>
      <w:r>
        <w:t xml:space="preserve"> </w:t>
      </w:r>
      <w:r w:rsidRPr="00415CCD">
        <w:t xml:space="preserve">This </w:t>
      </w:r>
      <w:r w:rsidR="009B1458">
        <w:t>category</w:t>
      </w:r>
      <w:r w:rsidRPr="00415CCD">
        <w:t xml:space="preserve"> applies to purchased or developed operating systems and application software programs.</w:t>
      </w:r>
      <w:r w:rsidR="009B1458">
        <w:t xml:space="preserve"> This includes c</w:t>
      </w:r>
      <w:r>
        <w:t>lient-based (desktop) application</w:t>
      </w:r>
      <w:r w:rsidR="009B1458">
        <w:t xml:space="preserve"> software programs. E</w:t>
      </w:r>
      <w:r>
        <w:t>xamples</w:t>
      </w:r>
      <w:r w:rsidR="009B1458">
        <w:t xml:space="preserve">: Windows, Linux, Microsoft Office, </w:t>
      </w:r>
      <w:r w:rsidR="005F7A67">
        <w:t>Photoshop</w:t>
      </w:r>
      <w:r w:rsidR="009B1458">
        <w:t>, SPSS</w:t>
      </w:r>
      <w:r>
        <w:t>.</w:t>
      </w:r>
    </w:p>
    <w:p w14:paraId="6F5D493C" w14:textId="77777777" w:rsidR="005C6D1B" w:rsidRDefault="005C6D1B" w:rsidP="00B02EC1"/>
    <w:p w14:paraId="68CF7D3B" w14:textId="54679FC4" w:rsidR="009B1458" w:rsidRDefault="004866CD" w:rsidP="009B1458">
      <w:pPr>
        <w:numPr>
          <w:ilvl w:val="0"/>
          <w:numId w:val="4"/>
        </w:numPr>
      </w:pPr>
      <w:r w:rsidRPr="004866CD">
        <w:rPr>
          <w:b/>
        </w:rPr>
        <w:t>Section 1194.22 Web-based Intranet and Internet Information and Applications.</w:t>
      </w:r>
      <w:r>
        <w:t xml:space="preserve">  </w:t>
      </w:r>
      <w:r w:rsidRPr="00971DE7">
        <w:t xml:space="preserve">Web-based information is content provided via webpages. A Web-based application is any application embedded in a webpage that is necessary to fully deliver the content of the page to the user. Web-based applications </w:t>
      </w:r>
      <w:r>
        <w:t>include any</w:t>
      </w:r>
      <w:r w:rsidRPr="00971DE7">
        <w:t xml:space="preserve"> </w:t>
      </w:r>
      <w:r>
        <w:t xml:space="preserve">web page functionality </w:t>
      </w:r>
      <w:r w:rsidRPr="00971DE7">
        <w:t>with which the user must interact in order to operate the given function of a webpage.</w:t>
      </w:r>
      <w:r>
        <w:t xml:space="preserve"> </w:t>
      </w:r>
      <w:r w:rsidR="009B1458">
        <w:t xml:space="preserve">Examples: </w:t>
      </w:r>
      <w:r w:rsidR="00256F05">
        <w:t>Canvas</w:t>
      </w:r>
      <w:r w:rsidR="009B1458">
        <w:t xml:space="preserve">, </w:t>
      </w:r>
      <w:proofErr w:type="spellStart"/>
      <w:r w:rsidR="009B1458">
        <w:t>myCI</w:t>
      </w:r>
      <w:proofErr w:type="spellEnd"/>
      <w:r w:rsidR="009B1458">
        <w:t xml:space="preserve">, </w:t>
      </w:r>
      <w:r w:rsidR="00256F05">
        <w:t>etc.</w:t>
      </w:r>
      <w:r w:rsidR="009B1458">
        <w:t xml:space="preserve"> </w:t>
      </w:r>
    </w:p>
    <w:p w14:paraId="7B041E2A" w14:textId="77777777" w:rsidR="004866CD" w:rsidRDefault="004866CD" w:rsidP="004866CD">
      <w:pPr>
        <w:ind w:left="360"/>
      </w:pPr>
    </w:p>
    <w:p w14:paraId="68063A60" w14:textId="77777777" w:rsidR="004866CD" w:rsidRDefault="004866CD" w:rsidP="004866CD">
      <w:pPr>
        <w:numPr>
          <w:ilvl w:val="0"/>
          <w:numId w:val="4"/>
        </w:numPr>
      </w:pPr>
      <w:r w:rsidRPr="004E255D">
        <w:rPr>
          <w:b/>
        </w:rPr>
        <w:t>Section 1194.23 Telecommunications.</w:t>
      </w:r>
      <w:r>
        <w:t xml:space="preserve">  </w:t>
      </w:r>
      <w:r w:rsidRPr="00E7632D">
        <w:t xml:space="preserve">This </w:t>
      </w:r>
      <w:r>
        <w:t>section</w:t>
      </w:r>
      <w:r w:rsidRPr="00E7632D">
        <w:t xml:space="preserve"> addresses communication devices used by people who are deaf, hard of hearing, visually impaired, or speech impaired to communicate </w:t>
      </w:r>
      <w:r w:rsidRPr="00E7632D">
        <w:lastRenderedPageBreak/>
        <w:t xml:space="preserve">over networks designed to carry voice. Whenever a device transmits and receives voice over a telecommunications network, it must then be able to support the hookup and successful interoperation of TTY </w:t>
      </w:r>
      <w:r>
        <w:t>assistive technology</w:t>
      </w:r>
      <w:r w:rsidRPr="00E7632D">
        <w:t>.</w:t>
      </w:r>
    </w:p>
    <w:p w14:paraId="51FA5E4C" w14:textId="77777777" w:rsidR="004866CD" w:rsidRDefault="004866CD" w:rsidP="004866CD">
      <w:pPr>
        <w:ind w:left="360"/>
      </w:pPr>
    </w:p>
    <w:p w14:paraId="0D007942" w14:textId="34D23DFF" w:rsidR="004866CD" w:rsidRDefault="004866CD" w:rsidP="004866CD">
      <w:pPr>
        <w:numPr>
          <w:ilvl w:val="0"/>
          <w:numId w:val="4"/>
        </w:numPr>
      </w:pPr>
      <w:r>
        <w:rPr>
          <w:b/>
        </w:rPr>
        <w:t xml:space="preserve">Section </w:t>
      </w:r>
      <w:r w:rsidRPr="00307E0A">
        <w:rPr>
          <w:b/>
        </w:rPr>
        <w:t>1194.24 Video and Multimedia Products.</w:t>
      </w:r>
      <w:r>
        <w:t xml:space="preserve"> This section includes </w:t>
      </w:r>
      <w:r w:rsidR="00256F05">
        <w:t>audio-visual</w:t>
      </w:r>
      <w:r w:rsidRPr="004E255D">
        <w:t xml:space="preserve"> equipment such as digital and analog TVs, VCRs, HDTV set-top boxes, DVD equipment, and in certain circumstances, PCs equipped with TV tuners, receiver cards, or displays used in presentations. </w:t>
      </w:r>
      <w:r>
        <w:t xml:space="preserve">It also includes </w:t>
      </w:r>
      <w:r w:rsidRPr="004E255D">
        <w:t xml:space="preserve">streaming media such as </w:t>
      </w:r>
      <w:r w:rsidR="009B1458">
        <w:t xml:space="preserve">YouTube, </w:t>
      </w:r>
      <w:r w:rsidRPr="004E255D">
        <w:t>broadcast and cable signals, as well as online presentations.</w:t>
      </w:r>
    </w:p>
    <w:p w14:paraId="66387ED0" w14:textId="77777777" w:rsidR="004866CD" w:rsidRDefault="004866CD" w:rsidP="004866CD"/>
    <w:p w14:paraId="2065E75A" w14:textId="77777777" w:rsidR="004866CD" w:rsidRDefault="004866CD" w:rsidP="004866CD">
      <w:pPr>
        <w:numPr>
          <w:ilvl w:val="0"/>
          <w:numId w:val="4"/>
        </w:numPr>
      </w:pPr>
      <w:r w:rsidRPr="00F91AA5">
        <w:rPr>
          <w:b/>
        </w:rPr>
        <w:t>Section 1194.25 Self-Contained, Closed Products.</w:t>
      </w:r>
      <w:r>
        <w:t xml:space="preserve">  </w:t>
      </w:r>
      <w:r w:rsidRPr="00BA2A58">
        <w:t xml:space="preserve">By definition, a self-contained, closed product is a device unto itself. This category </w:t>
      </w:r>
      <w:r>
        <w:t xml:space="preserve">includes </w:t>
      </w:r>
      <w:r w:rsidRPr="00BA2A58">
        <w:t xml:space="preserve">products that generally have embedded software and are commonly designed in such a fashion that a user cannot easily attach or install </w:t>
      </w:r>
      <w:r>
        <w:t>assistive technology</w:t>
      </w:r>
      <w:r w:rsidR="009B1458">
        <w:t xml:space="preserve">. Examples: </w:t>
      </w:r>
      <w:r w:rsidRPr="00BA2A58">
        <w:t>copiers, printers, fax machines, calculators, and information kiosks.</w:t>
      </w:r>
    </w:p>
    <w:p w14:paraId="00692FDB" w14:textId="77777777" w:rsidR="004866CD" w:rsidRDefault="004866CD" w:rsidP="004866CD">
      <w:pPr>
        <w:rPr>
          <w:b/>
        </w:rPr>
      </w:pPr>
    </w:p>
    <w:p w14:paraId="5E5D94F6" w14:textId="77777777" w:rsidR="004866CD" w:rsidRPr="004866CD" w:rsidRDefault="004866CD" w:rsidP="004866CD">
      <w:pPr>
        <w:numPr>
          <w:ilvl w:val="0"/>
          <w:numId w:val="4"/>
        </w:numPr>
      </w:pPr>
      <w:r w:rsidRPr="004866CD">
        <w:rPr>
          <w:b/>
        </w:rPr>
        <w:t xml:space="preserve">Section 1194.26 Desktop and Portable Computers.  </w:t>
      </w:r>
      <w:r w:rsidR="009B1458" w:rsidRPr="00B41DAD">
        <w:t>This includes laptops, tablets, smartphones</w:t>
      </w:r>
      <w:r w:rsidR="00B41DAD" w:rsidRPr="00B41DAD">
        <w:t xml:space="preserve">, smartwatches and other devices </w:t>
      </w:r>
      <w:r w:rsidR="009B1458" w:rsidRPr="00B41DAD">
        <w:t xml:space="preserve">which </w:t>
      </w:r>
      <w:r w:rsidR="00B41DAD" w:rsidRPr="00B41DAD">
        <w:t>serve as portable computers.</w:t>
      </w:r>
      <w:r w:rsidR="00B41DAD">
        <w:rPr>
          <w:b/>
        </w:rPr>
        <w:t xml:space="preserve"> </w:t>
      </w:r>
    </w:p>
    <w:p w14:paraId="4728883F" w14:textId="77777777" w:rsidR="004866CD" w:rsidRDefault="004866CD" w:rsidP="004866CD">
      <w:pPr>
        <w:ind w:left="720"/>
      </w:pPr>
    </w:p>
    <w:p w14:paraId="78FFA9CE" w14:textId="77777777" w:rsidR="00A52866" w:rsidRDefault="003A44A1" w:rsidP="00B02EC1">
      <w:r>
        <w:t xml:space="preserve">Please note that </w:t>
      </w:r>
      <w:r w:rsidR="00D43670">
        <w:t xml:space="preserve">most </w:t>
      </w:r>
      <w:r>
        <w:t xml:space="preserve">IT products and services fall within more than one category.  </w:t>
      </w:r>
    </w:p>
    <w:p w14:paraId="03224AA3" w14:textId="77777777" w:rsidR="00971DE7" w:rsidRDefault="003A44A1" w:rsidP="009B1458">
      <w:pPr>
        <w:pStyle w:val="Heading2"/>
      </w:pPr>
      <w:r>
        <w:t>Service Descriptions and Standards</w:t>
      </w:r>
    </w:p>
    <w:p w14:paraId="5595F9FF" w14:textId="77777777" w:rsidR="003A44A1" w:rsidRDefault="003A44A1" w:rsidP="003A44A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3"/>
        <w:gridCol w:w="4687"/>
      </w:tblGrid>
      <w:tr w:rsidR="00256F05" w14:paraId="3CF6B1D5" w14:textId="77777777" w:rsidTr="00A12036">
        <w:tc>
          <w:tcPr>
            <w:tcW w:w="4788" w:type="dxa"/>
            <w:shd w:val="clear" w:color="auto" w:fill="auto"/>
          </w:tcPr>
          <w:p w14:paraId="75A4A0F9" w14:textId="77777777" w:rsidR="003A44A1" w:rsidRPr="00A12036" w:rsidRDefault="003A44A1" w:rsidP="00A12036">
            <w:pPr>
              <w:rPr>
                <w:b/>
                <w:sz w:val="28"/>
                <w:szCs w:val="28"/>
              </w:rPr>
            </w:pPr>
            <w:r w:rsidRPr="00A12036">
              <w:rPr>
                <w:b/>
                <w:sz w:val="28"/>
                <w:szCs w:val="28"/>
              </w:rPr>
              <w:t>Roles</w:t>
            </w:r>
          </w:p>
        </w:tc>
        <w:tc>
          <w:tcPr>
            <w:tcW w:w="4788" w:type="dxa"/>
            <w:shd w:val="clear" w:color="auto" w:fill="auto"/>
          </w:tcPr>
          <w:p w14:paraId="47C07288" w14:textId="77777777" w:rsidR="003A44A1" w:rsidRPr="00A12036" w:rsidRDefault="003A44A1" w:rsidP="00A12036">
            <w:pPr>
              <w:rPr>
                <w:b/>
                <w:sz w:val="28"/>
                <w:szCs w:val="28"/>
              </w:rPr>
            </w:pPr>
            <w:r w:rsidRPr="00A12036">
              <w:rPr>
                <w:b/>
                <w:sz w:val="28"/>
                <w:szCs w:val="28"/>
              </w:rPr>
              <w:t>Responsibilities</w:t>
            </w:r>
          </w:p>
        </w:tc>
      </w:tr>
      <w:tr w:rsidR="00256F05" w14:paraId="59857558" w14:textId="77777777" w:rsidTr="00A12036">
        <w:tc>
          <w:tcPr>
            <w:tcW w:w="4788" w:type="dxa"/>
            <w:shd w:val="clear" w:color="auto" w:fill="auto"/>
          </w:tcPr>
          <w:p w14:paraId="5F111DD5" w14:textId="77777777" w:rsidR="003A44A1" w:rsidRDefault="003A44A1" w:rsidP="00A12036">
            <w:r>
              <w:t>Requestor</w:t>
            </w:r>
          </w:p>
        </w:tc>
        <w:tc>
          <w:tcPr>
            <w:tcW w:w="4788" w:type="dxa"/>
            <w:shd w:val="clear" w:color="auto" w:fill="auto"/>
          </w:tcPr>
          <w:p w14:paraId="2EB24BF9" w14:textId="6347D6D0" w:rsidR="003A44A1" w:rsidRDefault="003A44A1" w:rsidP="00A12036">
            <w:pPr>
              <w:pStyle w:val="ListParagraph"/>
              <w:numPr>
                <w:ilvl w:val="0"/>
                <w:numId w:val="35"/>
              </w:numPr>
              <w:ind w:left="342"/>
            </w:pPr>
            <w:r>
              <w:t xml:space="preserve">Primary point of contact for questions related to product/service usage between </w:t>
            </w:r>
            <w:r w:rsidR="00256F05">
              <w:t>ITS</w:t>
            </w:r>
            <w:r>
              <w:t xml:space="preserve"> and the vendor</w:t>
            </w:r>
          </w:p>
          <w:p w14:paraId="09194FE6" w14:textId="77777777" w:rsidR="003A44A1" w:rsidRDefault="003A44A1" w:rsidP="00A12036">
            <w:pPr>
              <w:pStyle w:val="ListParagraph"/>
              <w:numPr>
                <w:ilvl w:val="0"/>
                <w:numId w:val="35"/>
              </w:numPr>
              <w:ind w:left="342"/>
            </w:pPr>
            <w:r>
              <w:t>Expertise in product/service usage &amp; function</w:t>
            </w:r>
          </w:p>
          <w:p w14:paraId="2B1AE620" w14:textId="77777777" w:rsidR="003A44A1" w:rsidRDefault="003A44A1" w:rsidP="00A12036">
            <w:pPr>
              <w:pStyle w:val="ListParagraph"/>
              <w:numPr>
                <w:ilvl w:val="0"/>
                <w:numId w:val="35"/>
              </w:numPr>
              <w:ind w:left="342"/>
            </w:pPr>
            <w:r>
              <w:t>Creating &amp; documenting use cases</w:t>
            </w:r>
          </w:p>
          <w:p w14:paraId="41FB1C9C" w14:textId="365C4D56" w:rsidR="00F711CA" w:rsidRDefault="00F711CA" w:rsidP="00A12036">
            <w:pPr>
              <w:pStyle w:val="ListParagraph"/>
              <w:numPr>
                <w:ilvl w:val="0"/>
                <w:numId w:val="35"/>
              </w:numPr>
              <w:ind w:left="342"/>
            </w:pPr>
            <w:r>
              <w:t xml:space="preserve">Coordinating testing accounts &amp; access for </w:t>
            </w:r>
            <w:r w:rsidR="00256F05">
              <w:t>ITS</w:t>
            </w:r>
          </w:p>
        </w:tc>
      </w:tr>
      <w:tr w:rsidR="00256F05" w14:paraId="5CC527A7" w14:textId="77777777" w:rsidTr="00A12036">
        <w:tc>
          <w:tcPr>
            <w:tcW w:w="4788" w:type="dxa"/>
            <w:shd w:val="clear" w:color="auto" w:fill="auto"/>
          </w:tcPr>
          <w:p w14:paraId="6FF3A7A7" w14:textId="77777777" w:rsidR="003A44A1" w:rsidRDefault="003A44A1" w:rsidP="00A12036">
            <w:r>
              <w:t>Vendor</w:t>
            </w:r>
          </w:p>
        </w:tc>
        <w:tc>
          <w:tcPr>
            <w:tcW w:w="4788" w:type="dxa"/>
            <w:shd w:val="clear" w:color="auto" w:fill="auto"/>
          </w:tcPr>
          <w:p w14:paraId="7173A714" w14:textId="77777777" w:rsidR="00E754F5" w:rsidRDefault="00E754F5" w:rsidP="00A12036">
            <w:pPr>
              <w:pStyle w:val="ListParagraph"/>
              <w:numPr>
                <w:ilvl w:val="0"/>
                <w:numId w:val="36"/>
              </w:numPr>
              <w:ind w:left="342"/>
            </w:pPr>
            <w:r>
              <w:t>Deliver accessible IT product(s) or service(s) to the University according to contract and statement of work.</w:t>
            </w:r>
          </w:p>
          <w:p w14:paraId="7CDD9C61" w14:textId="77777777" w:rsidR="00E754F5" w:rsidRDefault="00E754F5" w:rsidP="00A12036">
            <w:pPr>
              <w:pStyle w:val="ListParagraph"/>
              <w:numPr>
                <w:ilvl w:val="0"/>
                <w:numId w:val="36"/>
              </w:numPr>
              <w:ind w:left="342"/>
            </w:pPr>
            <w:r>
              <w:t>Provide access to IT product(s) or service(s) for testing purposes</w:t>
            </w:r>
          </w:p>
        </w:tc>
      </w:tr>
      <w:tr w:rsidR="00256F05" w14:paraId="17B236D8" w14:textId="77777777" w:rsidTr="00A12036">
        <w:tc>
          <w:tcPr>
            <w:tcW w:w="4788" w:type="dxa"/>
            <w:shd w:val="clear" w:color="auto" w:fill="auto"/>
          </w:tcPr>
          <w:p w14:paraId="128F1999" w14:textId="6CEBD648" w:rsidR="003A44A1" w:rsidRDefault="00256F05" w:rsidP="00A12036">
            <w:r>
              <w:t>Information Technology Services (ITS)</w:t>
            </w:r>
          </w:p>
        </w:tc>
        <w:tc>
          <w:tcPr>
            <w:tcW w:w="4788" w:type="dxa"/>
            <w:shd w:val="clear" w:color="auto" w:fill="auto"/>
          </w:tcPr>
          <w:p w14:paraId="16D5B397" w14:textId="77777777" w:rsidR="00375483" w:rsidRDefault="00375483" w:rsidP="00A12036">
            <w:pPr>
              <w:pStyle w:val="ListParagraph"/>
              <w:numPr>
                <w:ilvl w:val="0"/>
                <w:numId w:val="34"/>
              </w:numPr>
              <w:ind w:left="342"/>
            </w:pPr>
            <w:r>
              <w:t>Approval of products to be procured</w:t>
            </w:r>
          </w:p>
          <w:p w14:paraId="1F575364" w14:textId="77777777" w:rsidR="003A44A1" w:rsidRDefault="00375483" w:rsidP="00A12036">
            <w:pPr>
              <w:pStyle w:val="ListParagraph"/>
              <w:numPr>
                <w:ilvl w:val="0"/>
                <w:numId w:val="34"/>
              </w:numPr>
              <w:ind w:left="342"/>
            </w:pPr>
            <w:r>
              <w:t>Accessibility testing of products</w:t>
            </w:r>
          </w:p>
          <w:p w14:paraId="7426EB42" w14:textId="77777777" w:rsidR="003A44A1" w:rsidRDefault="003A44A1" w:rsidP="00A12036">
            <w:pPr>
              <w:pStyle w:val="ListParagraph"/>
              <w:numPr>
                <w:ilvl w:val="0"/>
                <w:numId w:val="34"/>
              </w:numPr>
              <w:ind w:left="342"/>
            </w:pPr>
            <w:r>
              <w:t xml:space="preserve">Documenting </w:t>
            </w:r>
            <w:r w:rsidR="00375483">
              <w:t xml:space="preserve">accessibility </w:t>
            </w:r>
            <w:r>
              <w:t>test results</w:t>
            </w:r>
          </w:p>
          <w:p w14:paraId="141C2B34" w14:textId="01CD3881" w:rsidR="003A44A1" w:rsidRDefault="003A44A1" w:rsidP="00E90C4E">
            <w:pPr>
              <w:pStyle w:val="ListParagraph"/>
              <w:numPr>
                <w:ilvl w:val="0"/>
                <w:numId w:val="34"/>
              </w:numPr>
              <w:ind w:left="342"/>
            </w:pPr>
            <w:r>
              <w:t xml:space="preserve">Providing feedback </w:t>
            </w:r>
            <w:r w:rsidR="00E90C4E">
              <w:t xml:space="preserve">to Requestor, Vendor and </w:t>
            </w:r>
            <w:r w:rsidR="00256F05">
              <w:t>Contracts &amp; Procurement Services</w:t>
            </w:r>
          </w:p>
        </w:tc>
      </w:tr>
      <w:tr w:rsidR="00256F05" w14:paraId="716DC360" w14:textId="77777777" w:rsidTr="00A12036">
        <w:tc>
          <w:tcPr>
            <w:tcW w:w="4788" w:type="dxa"/>
            <w:shd w:val="clear" w:color="auto" w:fill="auto"/>
          </w:tcPr>
          <w:p w14:paraId="2AEEC4DA" w14:textId="25FB9434" w:rsidR="003A44A1" w:rsidRDefault="00256F05" w:rsidP="00A12036">
            <w:r>
              <w:t>Contracts &amp; Procurement Services</w:t>
            </w:r>
          </w:p>
        </w:tc>
        <w:tc>
          <w:tcPr>
            <w:tcW w:w="4788" w:type="dxa"/>
            <w:shd w:val="clear" w:color="auto" w:fill="auto"/>
          </w:tcPr>
          <w:p w14:paraId="2502A482" w14:textId="77777777" w:rsidR="003A44A1" w:rsidRDefault="00375483" w:rsidP="00A12036">
            <w:pPr>
              <w:pStyle w:val="ListParagraph"/>
              <w:ind w:left="0"/>
            </w:pPr>
            <w:r>
              <w:t>Authorizing procurement of IT products and services</w:t>
            </w:r>
          </w:p>
        </w:tc>
      </w:tr>
    </w:tbl>
    <w:p w14:paraId="1AED23E7" w14:textId="77777777" w:rsidR="003A44A1" w:rsidRDefault="003A44A1" w:rsidP="003A44A1"/>
    <w:p w14:paraId="72FEAF45" w14:textId="77777777" w:rsidR="00390632" w:rsidRDefault="00390632">
      <w:pPr>
        <w:rPr>
          <w:b/>
          <w:bCs/>
          <w:sz w:val="28"/>
          <w:szCs w:val="28"/>
        </w:rPr>
      </w:pPr>
      <w:r>
        <w:br w:type="page"/>
      </w:r>
    </w:p>
    <w:p w14:paraId="1687094C" w14:textId="2AAABC18" w:rsidR="00375483" w:rsidRDefault="002D0D16" w:rsidP="00375483">
      <w:pPr>
        <w:pStyle w:val="Heading4"/>
      </w:pPr>
      <w:r>
        <w:lastRenderedPageBreak/>
        <w:t>Service Overview</w:t>
      </w:r>
    </w:p>
    <w:p w14:paraId="557C5ACF" w14:textId="77777777" w:rsidR="00375483" w:rsidRDefault="00375483" w:rsidP="003A44A1"/>
    <w:p w14:paraId="1EB4ABDD" w14:textId="77777777" w:rsidR="000918E9" w:rsidRDefault="000918E9" w:rsidP="003A44A1">
      <w:r>
        <w:t xml:space="preserve">Evaluation and testing of IT equipment, products and services typically takes place during the procurement process. IT products and services which are determined to require testing shall be tested prior to completion of their procurement.  </w:t>
      </w:r>
    </w:p>
    <w:p w14:paraId="14321002" w14:textId="77777777" w:rsidR="000918E9" w:rsidRDefault="000918E9" w:rsidP="003A44A1"/>
    <w:p w14:paraId="5F9CE495" w14:textId="77777777" w:rsidR="003A44A1" w:rsidRDefault="000918E9" w:rsidP="003A44A1">
      <w:r>
        <w:t xml:space="preserve">Evaluation and testing may also occur for existing IT equipment, products and services, at the discretion of the ATI Executive Sponsor or </w:t>
      </w:r>
      <w:r w:rsidR="00E754F5">
        <w:t>requestor</w:t>
      </w:r>
      <w:r>
        <w:t xml:space="preserve">. </w:t>
      </w:r>
    </w:p>
    <w:p w14:paraId="20FA0963" w14:textId="77777777" w:rsidR="00D43670" w:rsidRDefault="00D43670" w:rsidP="003A44A1"/>
    <w:p w14:paraId="3346EBF7" w14:textId="77777777" w:rsidR="00375483" w:rsidRDefault="00375483" w:rsidP="00375483">
      <w:r>
        <w:t xml:space="preserve">The following documents and forms shall be used to support this </w:t>
      </w:r>
      <w:r w:rsidR="002D0D16">
        <w:t>SLA and corresponding procedures</w:t>
      </w:r>
      <w:r>
        <w:t>:</w:t>
      </w:r>
    </w:p>
    <w:p w14:paraId="42D723C5" w14:textId="77777777" w:rsidR="00375483" w:rsidRDefault="00375483" w:rsidP="00375483"/>
    <w:p w14:paraId="52840984" w14:textId="77777777" w:rsidR="00375483" w:rsidRDefault="00375483" w:rsidP="00375483">
      <w:pPr>
        <w:numPr>
          <w:ilvl w:val="0"/>
          <w:numId w:val="16"/>
        </w:numPr>
      </w:pPr>
      <w:r>
        <w:t>Accessibility Testing Product Instructions (ATPI)</w:t>
      </w:r>
    </w:p>
    <w:p w14:paraId="2E6DFBB3" w14:textId="77777777" w:rsidR="00375483" w:rsidRDefault="00375483" w:rsidP="00375483">
      <w:pPr>
        <w:numPr>
          <w:ilvl w:val="0"/>
          <w:numId w:val="16"/>
        </w:numPr>
      </w:pPr>
      <w:r>
        <w:t>Accessibility Testing Product Results (ATPR)</w:t>
      </w:r>
    </w:p>
    <w:p w14:paraId="4C5DC756" w14:textId="38FD6F7A" w:rsidR="00375483" w:rsidRDefault="00375483" w:rsidP="00375483">
      <w:pPr>
        <w:numPr>
          <w:ilvl w:val="0"/>
          <w:numId w:val="16"/>
        </w:numPr>
      </w:pPr>
      <w:r>
        <w:t>Equally Effective Alternative Access Plan (EEAAP)</w:t>
      </w:r>
      <w:r w:rsidR="00256F05">
        <w:br/>
      </w:r>
    </w:p>
    <w:p w14:paraId="44B508C1" w14:textId="77777777" w:rsidR="002D0D16" w:rsidRDefault="002D0D16" w:rsidP="002D0D16">
      <w:r>
        <w:t xml:space="preserve">Links to these documents are available in the Appendix. </w:t>
      </w:r>
    </w:p>
    <w:p w14:paraId="701DBE22" w14:textId="77777777" w:rsidR="00375483" w:rsidRDefault="00375483" w:rsidP="003A44A1"/>
    <w:p w14:paraId="40141F61" w14:textId="77777777" w:rsidR="00375483" w:rsidRDefault="00375483" w:rsidP="003A44A1"/>
    <w:p w14:paraId="5F049DFC" w14:textId="77777777" w:rsidR="00375483" w:rsidRDefault="00D43670" w:rsidP="00375483">
      <w:pPr>
        <w:pStyle w:val="Heading4"/>
      </w:pPr>
      <w:r>
        <w:t>Evaluation and Testing</w:t>
      </w:r>
      <w:r w:rsidR="00375483">
        <w:t xml:space="preserve"> Procedure</w:t>
      </w:r>
    </w:p>
    <w:p w14:paraId="4F2DACE7" w14:textId="77777777" w:rsidR="003A44A1" w:rsidRPr="003A44A1" w:rsidRDefault="003A44A1" w:rsidP="003A44A1"/>
    <w:p w14:paraId="264F0A63" w14:textId="77462F6D" w:rsidR="00351FBA" w:rsidRDefault="00CD7A0C" w:rsidP="00256F05">
      <w:pPr>
        <w:pStyle w:val="ListParagraph"/>
        <w:numPr>
          <w:ilvl w:val="0"/>
          <w:numId w:val="39"/>
        </w:numPr>
      </w:pPr>
      <w:r>
        <w:t>Requestor</w:t>
      </w:r>
      <w:r w:rsidR="000918E9">
        <w:t xml:space="preserve"> </w:t>
      </w:r>
      <w:r>
        <w:t>complete</w:t>
      </w:r>
      <w:r w:rsidR="00E0028C">
        <w:t>s the</w:t>
      </w:r>
      <w:r>
        <w:t xml:space="preserve"> IT Procurement Impact Assessment (ITPIA) form (</w:t>
      </w:r>
      <w:hyperlink r:id="rId9" w:history="1">
        <w:r w:rsidRPr="007C1A06">
          <w:rPr>
            <w:rStyle w:val="Hyperlink"/>
          </w:rPr>
          <w:t>http://go.csuci.edu/ITPIA)</w:t>
        </w:r>
      </w:hyperlink>
      <w:r w:rsidR="00D43670">
        <w:t xml:space="preserve"> and provides results to </w:t>
      </w:r>
      <w:r w:rsidR="00256F05">
        <w:t>ITS</w:t>
      </w:r>
      <w:r w:rsidR="00D43670">
        <w:t xml:space="preserve"> staff. </w:t>
      </w:r>
    </w:p>
    <w:p w14:paraId="414E4418" w14:textId="55E661BD" w:rsidR="005D3EB6" w:rsidRDefault="005D3EB6" w:rsidP="00256F05">
      <w:pPr>
        <w:pStyle w:val="ListParagraph"/>
        <w:numPr>
          <w:ilvl w:val="0"/>
          <w:numId w:val="39"/>
        </w:numPr>
      </w:pPr>
      <w:r>
        <w:t xml:space="preserve">Requestor obtains completed Voluntary Product Accessibility Template (VPAT) form from vendor and provides </w:t>
      </w:r>
      <w:r w:rsidR="00E754F5">
        <w:t xml:space="preserve">to </w:t>
      </w:r>
      <w:r w:rsidR="00256F05">
        <w:t>ITS</w:t>
      </w:r>
      <w:r w:rsidR="00E754F5">
        <w:t xml:space="preserve"> staff. For more information on the VPAT form, see </w:t>
      </w:r>
      <w:hyperlink r:id="rId10" w:history="1">
        <w:r w:rsidR="00E754F5" w:rsidRPr="007C1A06">
          <w:rPr>
            <w:rStyle w:val="Hyperlink"/>
          </w:rPr>
          <w:t>http://www.csuci.edu/ati/sla)</w:t>
        </w:r>
      </w:hyperlink>
      <w:r w:rsidR="00E754F5">
        <w:t xml:space="preserve"> </w:t>
      </w:r>
    </w:p>
    <w:p w14:paraId="7297152C" w14:textId="7C754129" w:rsidR="005D3EB6" w:rsidRDefault="00256F05" w:rsidP="00256F05">
      <w:pPr>
        <w:pStyle w:val="ListParagraph"/>
        <w:numPr>
          <w:ilvl w:val="0"/>
          <w:numId w:val="39"/>
        </w:numPr>
      </w:pPr>
      <w:r>
        <w:t>ITS</w:t>
      </w:r>
      <w:r w:rsidR="005D3EB6">
        <w:t xml:space="preserve"> staff reviews VPAT form and evaluates ITPIA score to determine if </w:t>
      </w:r>
      <w:r w:rsidR="00D43670">
        <w:t>the procurement</w:t>
      </w:r>
      <w:r w:rsidR="005D3EB6">
        <w:t xml:space="preserve"> meets or exceeds major impact threshold. If ITPIA score is below major impact threshold, no further evaluation shall be completed, unless specifically requested by the ATI Executive Sponsor. </w:t>
      </w:r>
    </w:p>
    <w:p w14:paraId="29142BA0" w14:textId="0E991878" w:rsidR="005D3EB6" w:rsidRDefault="00D43670" w:rsidP="00256F05">
      <w:pPr>
        <w:pStyle w:val="ListParagraph"/>
        <w:numPr>
          <w:ilvl w:val="0"/>
          <w:numId w:val="39"/>
        </w:numPr>
      </w:pPr>
      <w:r>
        <w:t xml:space="preserve">For procurements that meet or exceed the major impact threshold, </w:t>
      </w:r>
      <w:r w:rsidR="00256F05">
        <w:t>ITS</w:t>
      </w:r>
      <w:r w:rsidR="004866CD">
        <w:t xml:space="preserve"> </w:t>
      </w:r>
      <w:r w:rsidR="005D3EB6">
        <w:t xml:space="preserve">staff </w:t>
      </w:r>
      <w:r w:rsidR="00253D69">
        <w:t>shall</w:t>
      </w:r>
      <w:r w:rsidR="005D3EB6">
        <w:t xml:space="preserve"> collaborate with </w:t>
      </w:r>
      <w:r w:rsidR="00253D69">
        <w:t xml:space="preserve">the </w:t>
      </w:r>
      <w:r w:rsidR="005D3EB6">
        <w:t>requestor and vendor to test for basic product features using the ATPI and ATPR.</w:t>
      </w:r>
    </w:p>
    <w:p w14:paraId="05DA6FAC" w14:textId="3A30632C" w:rsidR="00D43670" w:rsidRDefault="00CD7A0C" w:rsidP="00256F05">
      <w:pPr>
        <w:pStyle w:val="ListParagraph"/>
        <w:numPr>
          <w:ilvl w:val="1"/>
          <w:numId w:val="39"/>
        </w:numPr>
      </w:pPr>
      <w:r>
        <w:t xml:space="preserve">Requestor </w:t>
      </w:r>
      <w:r w:rsidR="00D43670">
        <w:t xml:space="preserve">shall </w:t>
      </w:r>
      <w:r w:rsidR="00253D69">
        <w:t xml:space="preserve">identify and </w:t>
      </w:r>
      <w:r w:rsidR="009B1458">
        <w:t xml:space="preserve">document </w:t>
      </w:r>
      <w:r w:rsidR="00253D69">
        <w:t xml:space="preserve">common </w:t>
      </w:r>
      <w:r w:rsidR="009B1458">
        <w:t xml:space="preserve">use cases </w:t>
      </w:r>
      <w:r w:rsidR="00D43670">
        <w:t xml:space="preserve">for </w:t>
      </w:r>
      <w:r w:rsidR="00256F05">
        <w:t>ITS</w:t>
      </w:r>
      <w:r w:rsidR="00D43670">
        <w:t xml:space="preserve"> staff to use in testing</w:t>
      </w:r>
      <w:r w:rsidR="00253D69">
        <w:t xml:space="preserve">. </w:t>
      </w:r>
      <w:r w:rsidR="00256F05">
        <w:t>ITS</w:t>
      </w:r>
      <w:r w:rsidR="00253D69">
        <w:t xml:space="preserve"> staff shall support this process by providing electronic templates to gather use cases in a consistent manner. </w:t>
      </w:r>
    </w:p>
    <w:p w14:paraId="27FAC518" w14:textId="1B4ACA7D" w:rsidR="00583294" w:rsidRDefault="003A44A1" w:rsidP="00256F05">
      <w:pPr>
        <w:pStyle w:val="ListParagraph"/>
        <w:numPr>
          <w:ilvl w:val="1"/>
          <w:numId w:val="39"/>
        </w:numPr>
      </w:pPr>
      <w:r>
        <w:t xml:space="preserve">Requestor shall also coordinate with the vendor to </w:t>
      </w:r>
      <w:r w:rsidR="00D43670">
        <w:t xml:space="preserve">provide </w:t>
      </w:r>
      <w:r w:rsidR="00256F05">
        <w:t>ITS</w:t>
      </w:r>
      <w:r w:rsidR="00D43670">
        <w:t xml:space="preserve"> staff with necessary access to complete testing of the product/service (including creating user accounts for testing, authorizing test user access permissions, providing necessary login credentials, etc.) </w:t>
      </w:r>
    </w:p>
    <w:p w14:paraId="5A67F89E" w14:textId="5A913B9C" w:rsidR="004866CD" w:rsidRDefault="00256F05" w:rsidP="00256F05">
      <w:pPr>
        <w:pStyle w:val="ListParagraph"/>
        <w:numPr>
          <w:ilvl w:val="1"/>
          <w:numId w:val="39"/>
        </w:numPr>
      </w:pPr>
      <w:r>
        <w:t>ITS</w:t>
      </w:r>
      <w:r w:rsidR="00CD7A0C">
        <w:t xml:space="preserve"> </w:t>
      </w:r>
      <w:r w:rsidR="00583294">
        <w:t xml:space="preserve">staff will perform basic testing using the </w:t>
      </w:r>
      <w:r w:rsidR="00583294" w:rsidRPr="00256F05">
        <w:rPr>
          <w:b/>
          <w:i/>
        </w:rPr>
        <w:t>Accessibility Testing Product Instructions</w:t>
      </w:r>
      <w:r w:rsidR="009B1458" w:rsidRPr="00256F05">
        <w:rPr>
          <w:b/>
          <w:i/>
        </w:rPr>
        <w:t xml:space="preserve"> (ATPI)</w:t>
      </w:r>
      <w:r w:rsidR="00583294" w:rsidRPr="00256F05">
        <w:rPr>
          <w:b/>
          <w:i/>
        </w:rPr>
        <w:t xml:space="preserve"> </w:t>
      </w:r>
      <w:r w:rsidR="009B1458">
        <w:t xml:space="preserve">defined for each Section 1194 criteria. </w:t>
      </w:r>
      <w:r>
        <w:t>ITS</w:t>
      </w:r>
      <w:r w:rsidR="004866CD">
        <w:t xml:space="preserve"> staff will</w:t>
      </w:r>
      <w:r w:rsidR="00253D69">
        <w:t xml:space="preserve"> </w:t>
      </w:r>
      <w:r w:rsidR="005F7A67">
        <w:t>then document</w:t>
      </w:r>
      <w:r w:rsidR="009B1458">
        <w:t xml:space="preserve"> test results in the</w:t>
      </w:r>
      <w:r w:rsidR="004866CD">
        <w:t xml:space="preserve"> corresponding </w:t>
      </w:r>
      <w:r w:rsidR="00583294" w:rsidRPr="00256F05">
        <w:rPr>
          <w:b/>
          <w:i/>
        </w:rPr>
        <w:t>Accessibility Testing Product Results</w:t>
      </w:r>
      <w:r w:rsidR="004866CD" w:rsidRPr="00256F05">
        <w:rPr>
          <w:b/>
          <w:i/>
        </w:rPr>
        <w:t xml:space="preserve"> </w:t>
      </w:r>
      <w:r w:rsidR="009B1458" w:rsidRPr="00256F05">
        <w:rPr>
          <w:b/>
          <w:i/>
        </w:rPr>
        <w:t xml:space="preserve">(ATPR) </w:t>
      </w:r>
      <w:r w:rsidR="004866CD">
        <w:t>document</w:t>
      </w:r>
      <w:r w:rsidR="009B1458">
        <w:t xml:space="preserve"> for each Section 1194 criteria. </w:t>
      </w:r>
      <w:r w:rsidR="004866CD">
        <w:t xml:space="preserve"> </w:t>
      </w:r>
      <w:r w:rsidR="00253D69">
        <w:br/>
      </w:r>
      <w:r w:rsidR="00253D69">
        <w:br/>
      </w:r>
      <w:r w:rsidR="009B1458">
        <w:t xml:space="preserve">For example, if Product A falls within the scope of </w:t>
      </w:r>
      <w:r w:rsidR="00253D69">
        <w:t xml:space="preserve">both </w:t>
      </w:r>
      <w:r w:rsidR="009B1458">
        <w:t>Section 1194.21 and 1194.22 criteria, the following documents will be used:</w:t>
      </w:r>
    </w:p>
    <w:p w14:paraId="61B9A980" w14:textId="77777777" w:rsidR="009B1458" w:rsidRDefault="009B1458" w:rsidP="00256F05">
      <w:pPr>
        <w:pStyle w:val="ListParagraph"/>
        <w:numPr>
          <w:ilvl w:val="2"/>
          <w:numId w:val="39"/>
        </w:numPr>
      </w:pPr>
      <w:r>
        <w:t>ATPI for Section 1194.21</w:t>
      </w:r>
    </w:p>
    <w:p w14:paraId="2AA8871E" w14:textId="77777777" w:rsidR="009B1458" w:rsidRDefault="009B1458" w:rsidP="00256F05">
      <w:pPr>
        <w:pStyle w:val="ListParagraph"/>
        <w:numPr>
          <w:ilvl w:val="2"/>
          <w:numId w:val="39"/>
        </w:numPr>
      </w:pPr>
      <w:r>
        <w:t>ATPR for Section 1194.21</w:t>
      </w:r>
    </w:p>
    <w:p w14:paraId="1E5447CB" w14:textId="77777777" w:rsidR="009B1458" w:rsidRDefault="009B1458" w:rsidP="00256F05">
      <w:pPr>
        <w:pStyle w:val="ListParagraph"/>
        <w:numPr>
          <w:ilvl w:val="2"/>
          <w:numId w:val="39"/>
        </w:numPr>
      </w:pPr>
      <w:r>
        <w:lastRenderedPageBreak/>
        <w:t>ATPI for Section 1194.22</w:t>
      </w:r>
    </w:p>
    <w:p w14:paraId="2252EB93" w14:textId="77777777" w:rsidR="009B1458" w:rsidRDefault="009B1458" w:rsidP="00256F05">
      <w:pPr>
        <w:pStyle w:val="ListParagraph"/>
        <w:numPr>
          <w:ilvl w:val="2"/>
          <w:numId w:val="39"/>
        </w:numPr>
      </w:pPr>
      <w:r>
        <w:t>ATPR for Section 1194.22</w:t>
      </w:r>
    </w:p>
    <w:p w14:paraId="62241C0D" w14:textId="77777777" w:rsidR="009B1458" w:rsidRDefault="009B1458" w:rsidP="00256F05"/>
    <w:p w14:paraId="1E54FAA9" w14:textId="5A622F17" w:rsidR="00B350D2" w:rsidRDefault="005F7A67" w:rsidP="00256F05">
      <w:pPr>
        <w:pStyle w:val="ListParagraph"/>
        <w:numPr>
          <w:ilvl w:val="1"/>
          <w:numId w:val="39"/>
        </w:numPr>
      </w:pPr>
      <w:r>
        <w:t xml:space="preserve">In certain cases, assessment and testing by </w:t>
      </w:r>
      <w:r w:rsidR="00256F05">
        <w:t>ITS</w:t>
      </w:r>
      <w:r>
        <w:t xml:space="preserve"> staff will not be feasible when product complexity is such that the limited IT resources are not adequate.  </w:t>
      </w:r>
      <w:r w:rsidR="006811AF">
        <w:t>In those cases, evaluation by a 3</w:t>
      </w:r>
      <w:r w:rsidR="006811AF" w:rsidRPr="00256F05">
        <w:rPr>
          <w:vertAlign w:val="superscript"/>
        </w:rPr>
        <w:t>rd</w:t>
      </w:r>
      <w:r w:rsidR="006811AF">
        <w:t xml:space="preserve"> party or qualified contractor may be required. </w:t>
      </w:r>
    </w:p>
    <w:p w14:paraId="3D20FA5D" w14:textId="5F59DB1C" w:rsidR="006811AF" w:rsidRDefault="00256F05" w:rsidP="00256F05">
      <w:pPr>
        <w:pStyle w:val="ListParagraph"/>
        <w:numPr>
          <w:ilvl w:val="0"/>
          <w:numId w:val="39"/>
        </w:numPr>
      </w:pPr>
      <w:r>
        <w:t>ITS</w:t>
      </w:r>
      <w:r w:rsidR="006811AF">
        <w:t xml:space="preserve"> staff </w:t>
      </w:r>
      <w:r w:rsidR="00253D69">
        <w:t>shall</w:t>
      </w:r>
      <w:r w:rsidR="006811AF">
        <w:t xml:space="preserve"> provide test results to the Requestor and to the vendor.</w:t>
      </w:r>
    </w:p>
    <w:p w14:paraId="35319AE0" w14:textId="77777777" w:rsidR="00253D69" w:rsidRDefault="00253D69" w:rsidP="00253D69"/>
    <w:p w14:paraId="4B0F5C17" w14:textId="77777777" w:rsidR="00253D69" w:rsidRDefault="00253D69" w:rsidP="00253D69">
      <w:pPr>
        <w:pStyle w:val="Heading4"/>
      </w:pPr>
      <w:r>
        <w:t>Post-Testing Procedure</w:t>
      </w:r>
    </w:p>
    <w:p w14:paraId="274CBA98" w14:textId="77777777" w:rsidR="00253D69" w:rsidRDefault="00253D69" w:rsidP="00253D69"/>
    <w:p w14:paraId="459F23B3" w14:textId="77777777" w:rsidR="00583294" w:rsidRDefault="006811AF" w:rsidP="00253D69">
      <w:r>
        <w:t xml:space="preserve">Based on the outcome of the results and severity of the issues discovered, </w:t>
      </w:r>
      <w:r w:rsidR="00194B00">
        <w:t>t</w:t>
      </w:r>
      <w:r w:rsidR="00583294">
        <w:t xml:space="preserve">he Requestor </w:t>
      </w:r>
      <w:r>
        <w:t>may be required to create</w:t>
      </w:r>
      <w:r w:rsidR="00583294">
        <w:t xml:space="preserve"> an Equally Effective </w:t>
      </w:r>
      <w:r>
        <w:t xml:space="preserve">Alternative </w:t>
      </w:r>
      <w:r w:rsidR="00583294">
        <w:t>Access Plan</w:t>
      </w:r>
      <w:r>
        <w:t xml:space="preserve"> (EEAAP) (see Appendix). </w:t>
      </w:r>
    </w:p>
    <w:p w14:paraId="052952A3" w14:textId="16391A9A" w:rsidR="00194B00" w:rsidRDefault="00256F05" w:rsidP="00253D69">
      <w:pPr>
        <w:numPr>
          <w:ilvl w:val="0"/>
          <w:numId w:val="33"/>
        </w:numPr>
      </w:pPr>
      <w:r>
        <w:t>ITS</w:t>
      </w:r>
      <w:r w:rsidR="00194B00">
        <w:t xml:space="preserve"> staff </w:t>
      </w:r>
      <w:r w:rsidR="00253D69">
        <w:t>shall</w:t>
      </w:r>
      <w:r w:rsidR="00194B00">
        <w:t xml:space="preserve"> provide feedback and consultation </w:t>
      </w:r>
      <w:r w:rsidR="00253D69">
        <w:t xml:space="preserve">to the Requestor </w:t>
      </w:r>
      <w:r w:rsidR="00194B00">
        <w:t>about implementing equally effective</w:t>
      </w:r>
      <w:r w:rsidR="006811AF">
        <w:t xml:space="preserve"> alternative</w:t>
      </w:r>
      <w:r w:rsidR="00194B00">
        <w:t xml:space="preserve"> access for identified issues.</w:t>
      </w:r>
    </w:p>
    <w:p w14:paraId="1D53EB11" w14:textId="10A8BC9F" w:rsidR="00194B00" w:rsidRDefault="00194B00" w:rsidP="00253D69">
      <w:pPr>
        <w:numPr>
          <w:ilvl w:val="0"/>
          <w:numId w:val="33"/>
        </w:numPr>
      </w:pPr>
      <w:r>
        <w:t xml:space="preserve">If further testing or repair beyond the current IT resources is necessary, </w:t>
      </w:r>
      <w:r w:rsidR="00256F05">
        <w:t>ITS</w:t>
      </w:r>
      <w:r w:rsidR="00253D69">
        <w:t xml:space="preserve"> </w:t>
      </w:r>
      <w:r w:rsidR="00B41DAD">
        <w:t>shall</w:t>
      </w:r>
      <w:r>
        <w:t xml:space="preserve"> provide a list of </w:t>
      </w:r>
      <w:r w:rsidRPr="00194B00">
        <w:t xml:space="preserve">consultants who </w:t>
      </w:r>
      <w:r>
        <w:t>may be able to assist and find equally effective access solutions</w:t>
      </w:r>
      <w:r w:rsidR="00253D69">
        <w:t xml:space="preserve"> for the requestor. </w:t>
      </w:r>
    </w:p>
    <w:p w14:paraId="376DB954" w14:textId="77777777" w:rsidR="00583294" w:rsidRDefault="00583294" w:rsidP="00253D69">
      <w:pPr>
        <w:numPr>
          <w:ilvl w:val="0"/>
          <w:numId w:val="33"/>
        </w:numPr>
      </w:pPr>
      <w:r>
        <w:t xml:space="preserve">It should be noted that IT staff do not have the expertise to evaluate how specific </w:t>
      </w:r>
      <w:r w:rsidR="00F51AF7">
        <w:t xml:space="preserve">equipment, hardware and software </w:t>
      </w:r>
      <w:r>
        <w:t>are being used by the Requestor, and as such, cannot address remediation.</w:t>
      </w:r>
    </w:p>
    <w:p w14:paraId="076B904E" w14:textId="77777777" w:rsidR="00583294" w:rsidRDefault="00583294" w:rsidP="00253D69">
      <w:pPr>
        <w:numPr>
          <w:ilvl w:val="0"/>
          <w:numId w:val="33"/>
        </w:numPr>
      </w:pPr>
      <w:r>
        <w:t xml:space="preserve">It should be noted that equally effective </w:t>
      </w:r>
      <w:r w:rsidR="006811AF">
        <w:t xml:space="preserve">alternative </w:t>
      </w:r>
      <w:r>
        <w:t xml:space="preserve">access is </w:t>
      </w:r>
      <w:r w:rsidR="006811AF">
        <w:t>dependent</w:t>
      </w:r>
      <w:r>
        <w:t xml:space="preserve"> on the specific type of disability that needs to be accommodated, and, as such, </w:t>
      </w:r>
      <w:r w:rsidR="00F51AF7">
        <w:t xml:space="preserve">often </w:t>
      </w:r>
      <w:r>
        <w:t>cannot be determined in advance.</w:t>
      </w:r>
    </w:p>
    <w:p w14:paraId="448BAA12" w14:textId="77777777" w:rsidR="00253D69" w:rsidRDefault="00253D69" w:rsidP="00253D69"/>
    <w:p w14:paraId="3D08550C" w14:textId="77777777" w:rsidR="00DA4C31" w:rsidRDefault="00DA4C31" w:rsidP="00253D69">
      <w:r>
        <w:t xml:space="preserve">All </w:t>
      </w:r>
      <w:r w:rsidR="000918E9">
        <w:t>related documents (</w:t>
      </w:r>
      <w:r w:rsidR="00E754F5">
        <w:t xml:space="preserve">including </w:t>
      </w:r>
      <w:r w:rsidR="000918E9">
        <w:t xml:space="preserve">ITPIA, VPAT, </w:t>
      </w:r>
      <w:r w:rsidR="00E754F5">
        <w:t xml:space="preserve">ATPIs, ATPRs, and EEAAP) become part of the procurement package and shall be provided by the Requestor to Procurement prior to the issuing of the purchase order by Procurement. </w:t>
      </w:r>
    </w:p>
    <w:p w14:paraId="03B38567" w14:textId="77777777" w:rsidR="00253D69" w:rsidRDefault="00253D69" w:rsidP="00253D69">
      <w:r>
        <w:t xml:space="preserve"> </w:t>
      </w:r>
    </w:p>
    <w:p w14:paraId="1911844E" w14:textId="77777777" w:rsidR="00B515D4" w:rsidRDefault="00B515D4" w:rsidP="00B515D4">
      <w:pPr>
        <w:ind w:left="360"/>
      </w:pPr>
    </w:p>
    <w:p w14:paraId="500D6D8A" w14:textId="77777777" w:rsidR="00F91AA5" w:rsidRPr="00E754F5" w:rsidRDefault="00352EA2" w:rsidP="00E754F5">
      <w:pPr>
        <w:pStyle w:val="Heading2"/>
      </w:pPr>
      <w:r w:rsidRPr="00352EA2">
        <w:t>IT Staff Product Testing Contact</w:t>
      </w:r>
      <w:r>
        <w:t xml:space="preserve"> Table</w:t>
      </w:r>
    </w:p>
    <w:p w14:paraId="2E3032BB" w14:textId="77777777" w:rsidR="00352EA2" w:rsidRDefault="00352EA2" w:rsidP="001602C3"/>
    <w:p w14:paraId="0A17037B" w14:textId="77777777" w:rsidR="00352EA2" w:rsidRDefault="00352EA2" w:rsidP="001602C3"/>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3147"/>
        <w:gridCol w:w="3092"/>
        <w:gridCol w:w="3101"/>
      </w:tblGrid>
      <w:tr w:rsidR="00F91AA5" w:rsidRPr="00082414" w14:paraId="3DC1A885" w14:textId="77777777" w:rsidTr="005F5980">
        <w:trPr>
          <w:cantSplit/>
        </w:trPr>
        <w:tc>
          <w:tcPr>
            <w:tcW w:w="9576" w:type="dxa"/>
            <w:gridSpan w:val="3"/>
            <w:tcBorders>
              <w:top w:val="single" w:sz="8" w:space="0" w:color="F79646"/>
              <w:left w:val="single" w:sz="8" w:space="0" w:color="F79646"/>
              <w:bottom w:val="single" w:sz="18" w:space="0" w:color="F79646"/>
              <w:right w:val="single" w:sz="8" w:space="0" w:color="F79646"/>
            </w:tcBorders>
          </w:tcPr>
          <w:p w14:paraId="2FED4D77" w14:textId="77777777" w:rsidR="00F91AA5" w:rsidRPr="00082414" w:rsidRDefault="00F91AA5" w:rsidP="00D00C21">
            <w:pPr>
              <w:rPr>
                <w:rFonts w:ascii="Arial" w:hAnsi="Arial" w:cs="Arial"/>
                <w:b/>
                <w:bCs/>
                <w:sz w:val="24"/>
                <w:szCs w:val="24"/>
              </w:rPr>
            </w:pPr>
            <w:r w:rsidRPr="00082414">
              <w:rPr>
                <w:rFonts w:ascii="Arial" w:hAnsi="Arial" w:cs="Arial"/>
                <w:b/>
                <w:bCs/>
                <w:sz w:val="24"/>
                <w:szCs w:val="24"/>
              </w:rPr>
              <w:t xml:space="preserve">IT Staff </w:t>
            </w:r>
            <w:r w:rsidR="005F5980">
              <w:rPr>
                <w:rFonts w:ascii="Arial" w:hAnsi="Arial" w:cs="Arial"/>
                <w:b/>
                <w:bCs/>
                <w:sz w:val="24"/>
                <w:szCs w:val="24"/>
              </w:rPr>
              <w:t xml:space="preserve">Product </w:t>
            </w:r>
            <w:r w:rsidRPr="00082414">
              <w:rPr>
                <w:rFonts w:ascii="Arial" w:hAnsi="Arial" w:cs="Arial"/>
                <w:b/>
                <w:bCs/>
                <w:sz w:val="24"/>
                <w:szCs w:val="24"/>
              </w:rPr>
              <w:t xml:space="preserve">Testing </w:t>
            </w:r>
            <w:r w:rsidR="00D00C21" w:rsidRPr="00082414">
              <w:rPr>
                <w:rFonts w:ascii="Arial" w:hAnsi="Arial" w:cs="Arial"/>
                <w:b/>
                <w:bCs/>
                <w:sz w:val="24"/>
                <w:szCs w:val="24"/>
              </w:rPr>
              <w:t>Contact</w:t>
            </w:r>
          </w:p>
        </w:tc>
      </w:tr>
      <w:tr w:rsidR="00D00C21" w:rsidRPr="008D6257" w14:paraId="5912CF9B" w14:textId="77777777" w:rsidTr="005F5980">
        <w:trPr>
          <w:cantSplit/>
        </w:trPr>
        <w:tc>
          <w:tcPr>
            <w:tcW w:w="3192" w:type="dxa"/>
            <w:tcBorders>
              <w:top w:val="single" w:sz="8" w:space="0" w:color="F79646"/>
              <w:left w:val="single" w:sz="8" w:space="0" w:color="F79646"/>
              <w:bottom w:val="single" w:sz="18" w:space="0" w:color="F79646"/>
              <w:right w:val="single" w:sz="8" w:space="0" w:color="F79646"/>
            </w:tcBorders>
            <w:shd w:val="clear" w:color="auto" w:fill="FDE4D0"/>
          </w:tcPr>
          <w:p w14:paraId="496ACB6F" w14:textId="77777777" w:rsidR="00D00C21" w:rsidRPr="008D6257" w:rsidRDefault="00D00C21" w:rsidP="001602C3">
            <w:pPr>
              <w:rPr>
                <w:rFonts w:ascii="Arial" w:hAnsi="Arial" w:cs="Arial"/>
                <w:b/>
                <w:bCs/>
                <w:sz w:val="20"/>
                <w:szCs w:val="20"/>
              </w:rPr>
            </w:pPr>
            <w:r w:rsidRPr="008D6257">
              <w:rPr>
                <w:rFonts w:ascii="Arial" w:hAnsi="Arial" w:cs="Arial"/>
                <w:b/>
                <w:bCs/>
                <w:sz w:val="20"/>
                <w:szCs w:val="20"/>
              </w:rPr>
              <w:t>Section</w:t>
            </w:r>
          </w:p>
        </w:tc>
        <w:tc>
          <w:tcPr>
            <w:tcW w:w="3192" w:type="dxa"/>
            <w:tcBorders>
              <w:top w:val="single" w:sz="8" w:space="0" w:color="F79646"/>
              <w:left w:val="single" w:sz="8" w:space="0" w:color="F79646"/>
              <w:bottom w:val="single" w:sz="18" w:space="0" w:color="F79646"/>
              <w:right w:val="single" w:sz="8" w:space="0" w:color="F79646"/>
            </w:tcBorders>
            <w:shd w:val="clear" w:color="auto" w:fill="FDE4D0"/>
          </w:tcPr>
          <w:p w14:paraId="210B485A" w14:textId="77777777" w:rsidR="00D00C21" w:rsidRPr="008D6257" w:rsidRDefault="00D00C21" w:rsidP="00D00C21">
            <w:pPr>
              <w:rPr>
                <w:rFonts w:ascii="Arial" w:hAnsi="Arial" w:cs="Arial"/>
                <w:b/>
                <w:bCs/>
                <w:sz w:val="20"/>
                <w:szCs w:val="20"/>
              </w:rPr>
            </w:pPr>
            <w:r w:rsidRPr="008D6257">
              <w:rPr>
                <w:rFonts w:ascii="Arial" w:hAnsi="Arial" w:cs="Arial"/>
                <w:b/>
                <w:bCs/>
                <w:sz w:val="20"/>
                <w:szCs w:val="20"/>
              </w:rPr>
              <w:t>Primary Contact</w:t>
            </w:r>
          </w:p>
        </w:tc>
        <w:tc>
          <w:tcPr>
            <w:tcW w:w="3192" w:type="dxa"/>
            <w:tcBorders>
              <w:top w:val="single" w:sz="8" w:space="0" w:color="F79646"/>
              <w:left w:val="single" w:sz="8" w:space="0" w:color="F79646"/>
              <w:bottom w:val="single" w:sz="18" w:space="0" w:color="F79646"/>
              <w:right w:val="single" w:sz="8" w:space="0" w:color="F79646"/>
            </w:tcBorders>
            <w:shd w:val="clear" w:color="auto" w:fill="FDE4D0"/>
          </w:tcPr>
          <w:p w14:paraId="48E3752B" w14:textId="77777777" w:rsidR="00D00C21" w:rsidRPr="008D6257" w:rsidRDefault="00D00C21" w:rsidP="001602C3">
            <w:pPr>
              <w:rPr>
                <w:rFonts w:ascii="Arial" w:hAnsi="Arial" w:cs="Arial"/>
                <w:b/>
                <w:bCs/>
                <w:sz w:val="20"/>
                <w:szCs w:val="20"/>
              </w:rPr>
            </w:pPr>
            <w:r w:rsidRPr="008D6257">
              <w:rPr>
                <w:rFonts w:ascii="Arial" w:hAnsi="Arial" w:cs="Arial"/>
                <w:b/>
                <w:bCs/>
                <w:sz w:val="20"/>
                <w:szCs w:val="20"/>
              </w:rPr>
              <w:t xml:space="preserve">Additional </w:t>
            </w:r>
            <w:r w:rsidR="008D6257" w:rsidRPr="008D6257">
              <w:rPr>
                <w:rFonts w:ascii="Arial" w:hAnsi="Arial" w:cs="Arial"/>
                <w:b/>
                <w:bCs/>
                <w:sz w:val="20"/>
                <w:szCs w:val="20"/>
              </w:rPr>
              <w:t xml:space="preserve">IT </w:t>
            </w:r>
            <w:r w:rsidRPr="008D6257">
              <w:rPr>
                <w:rFonts w:ascii="Arial" w:hAnsi="Arial" w:cs="Arial"/>
                <w:b/>
                <w:bCs/>
                <w:sz w:val="20"/>
                <w:szCs w:val="20"/>
              </w:rPr>
              <w:t>Staff Resources</w:t>
            </w:r>
          </w:p>
        </w:tc>
      </w:tr>
      <w:tr w:rsidR="00F91AA5" w:rsidRPr="00082414" w14:paraId="59140A88" w14:textId="77777777" w:rsidTr="005F5980">
        <w:trPr>
          <w:cantSplit/>
        </w:trPr>
        <w:tc>
          <w:tcPr>
            <w:tcW w:w="3192" w:type="dxa"/>
            <w:tcBorders>
              <w:top w:val="single" w:sz="8" w:space="0" w:color="F79646"/>
              <w:left w:val="single" w:sz="8" w:space="0" w:color="F79646"/>
              <w:bottom w:val="single" w:sz="8" w:space="0" w:color="F79646"/>
              <w:right w:val="single" w:sz="8" w:space="0" w:color="F79646"/>
            </w:tcBorders>
            <w:shd w:val="clear" w:color="auto" w:fill="FFFFFF"/>
          </w:tcPr>
          <w:p w14:paraId="41B3571C" w14:textId="77777777" w:rsidR="00F91AA5" w:rsidRPr="00082414" w:rsidRDefault="00F91AA5" w:rsidP="00F91AA5">
            <w:pPr>
              <w:rPr>
                <w:rFonts w:ascii="Arial" w:hAnsi="Arial" w:cs="Arial"/>
                <w:bCs/>
              </w:rPr>
            </w:pPr>
            <w:r w:rsidRPr="00082414">
              <w:rPr>
                <w:rFonts w:ascii="Arial" w:hAnsi="Arial" w:cs="Arial"/>
                <w:bCs/>
              </w:rPr>
              <w:t>1. Section 1194.21 Software Applications and Operating Systems.</w:t>
            </w:r>
          </w:p>
        </w:tc>
        <w:tc>
          <w:tcPr>
            <w:tcW w:w="3192" w:type="dxa"/>
            <w:tcBorders>
              <w:top w:val="single" w:sz="8" w:space="0" w:color="F79646"/>
              <w:left w:val="single" w:sz="8" w:space="0" w:color="F79646"/>
              <w:bottom w:val="single" w:sz="8" w:space="0" w:color="F79646"/>
              <w:right w:val="single" w:sz="8" w:space="0" w:color="F79646"/>
            </w:tcBorders>
            <w:shd w:val="clear" w:color="auto" w:fill="FFFFFF"/>
          </w:tcPr>
          <w:p w14:paraId="182192EF" w14:textId="77777777" w:rsidR="00D00C21" w:rsidRPr="00082414" w:rsidRDefault="00CD7A0C" w:rsidP="00CD7A0C">
            <w:pPr>
              <w:rPr>
                <w:rFonts w:ascii="Arial" w:hAnsi="Arial" w:cs="Arial"/>
              </w:rPr>
            </w:pPr>
            <w:r>
              <w:rPr>
                <w:rFonts w:ascii="Arial" w:hAnsi="Arial" w:cs="Arial"/>
              </w:rPr>
              <w:t>Jerry Garcia</w:t>
            </w:r>
          </w:p>
        </w:tc>
        <w:tc>
          <w:tcPr>
            <w:tcW w:w="3192" w:type="dxa"/>
            <w:tcBorders>
              <w:top w:val="single" w:sz="8" w:space="0" w:color="F79646"/>
              <w:left w:val="single" w:sz="8" w:space="0" w:color="F79646"/>
              <w:bottom w:val="single" w:sz="8" w:space="0" w:color="F79646"/>
              <w:right w:val="single" w:sz="8" w:space="0" w:color="F79646"/>
            </w:tcBorders>
            <w:shd w:val="clear" w:color="auto" w:fill="FFFFFF"/>
          </w:tcPr>
          <w:p w14:paraId="5B0E926B" w14:textId="77777777" w:rsidR="00F91AA5" w:rsidRPr="00082414" w:rsidRDefault="00F91AA5" w:rsidP="001602C3">
            <w:pPr>
              <w:rPr>
                <w:rFonts w:ascii="Arial" w:hAnsi="Arial" w:cs="Arial"/>
              </w:rPr>
            </w:pPr>
          </w:p>
        </w:tc>
      </w:tr>
      <w:tr w:rsidR="00F91AA5" w:rsidRPr="00082414" w14:paraId="0D9A3028" w14:textId="77777777" w:rsidTr="005F5980">
        <w:trPr>
          <w:cantSplit/>
        </w:trPr>
        <w:tc>
          <w:tcPr>
            <w:tcW w:w="3192" w:type="dxa"/>
            <w:tcBorders>
              <w:top w:val="single" w:sz="8" w:space="0" w:color="F79646"/>
              <w:left w:val="single" w:sz="8" w:space="0" w:color="F79646"/>
              <w:bottom w:val="single" w:sz="8" w:space="0" w:color="F79646"/>
              <w:right w:val="single" w:sz="8" w:space="0" w:color="F79646"/>
            </w:tcBorders>
            <w:shd w:val="clear" w:color="auto" w:fill="FDE4D0"/>
          </w:tcPr>
          <w:p w14:paraId="70E4E051" w14:textId="77777777" w:rsidR="00F91AA5" w:rsidRPr="00082414" w:rsidRDefault="00F91AA5" w:rsidP="001602C3">
            <w:pPr>
              <w:rPr>
                <w:rFonts w:ascii="Arial" w:hAnsi="Arial" w:cs="Arial"/>
                <w:bCs/>
              </w:rPr>
            </w:pPr>
            <w:r w:rsidRPr="00082414">
              <w:rPr>
                <w:rFonts w:ascii="Arial" w:hAnsi="Arial" w:cs="Arial"/>
                <w:bCs/>
              </w:rPr>
              <w:t xml:space="preserve">2. Section 1194.22 Web-based Intranet and Internet Information and Applications.  </w:t>
            </w:r>
          </w:p>
        </w:tc>
        <w:tc>
          <w:tcPr>
            <w:tcW w:w="3192" w:type="dxa"/>
            <w:tcBorders>
              <w:top w:val="single" w:sz="8" w:space="0" w:color="F79646"/>
              <w:left w:val="single" w:sz="8" w:space="0" w:color="F79646"/>
              <w:bottom w:val="single" w:sz="8" w:space="0" w:color="F79646"/>
              <w:right w:val="single" w:sz="8" w:space="0" w:color="F79646"/>
            </w:tcBorders>
            <w:shd w:val="clear" w:color="auto" w:fill="FDE4D0"/>
          </w:tcPr>
          <w:p w14:paraId="177E6642" w14:textId="77777777" w:rsidR="00F91AA5" w:rsidRPr="00082414" w:rsidRDefault="00CD7A0C" w:rsidP="001602C3">
            <w:pPr>
              <w:rPr>
                <w:rFonts w:ascii="Arial" w:hAnsi="Arial" w:cs="Arial"/>
              </w:rPr>
            </w:pPr>
            <w:r>
              <w:rPr>
                <w:rFonts w:ascii="Arial" w:hAnsi="Arial" w:cs="Arial"/>
              </w:rPr>
              <w:t>Daniel Martinez</w:t>
            </w:r>
          </w:p>
        </w:tc>
        <w:tc>
          <w:tcPr>
            <w:tcW w:w="3192" w:type="dxa"/>
            <w:tcBorders>
              <w:top w:val="single" w:sz="8" w:space="0" w:color="F79646"/>
              <w:left w:val="single" w:sz="8" w:space="0" w:color="F79646"/>
              <w:bottom w:val="single" w:sz="8" w:space="0" w:color="F79646"/>
              <w:right w:val="single" w:sz="8" w:space="0" w:color="F79646"/>
            </w:tcBorders>
            <w:shd w:val="clear" w:color="auto" w:fill="FDE4D0"/>
          </w:tcPr>
          <w:p w14:paraId="6725BBEE" w14:textId="77777777" w:rsidR="00F91AA5" w:rsidRDefault="00F9338C" w:rsidP="001602C3">
            <w:pPr>
              <w:rPr>
                <w:rFonts w:ascii="Arial" w:hAnsi="Arial" w:cs="Arial"/>
              </w:rPr>
            </w:pPr>
            <w:r>
              <w:rPr>
                <w:rFonts w:ascii="Arial" w:hAnsi="Arial" w:cs="Arial"/>
              </w:rPr>
              <w:t>Jerry Garcia</w:t>
            </w:r>
          </w:p>
          <w:p w14:paraId="2DA77E04" w14:textId="77777777" w:rsidR="00F9338C" w:rsidRPr="00082414" w:rsidRDefault="00F9338C" w:rsidP="00F9338C">
            <w:pPr>
              <w:rPr>
                <w:rFonts w:ascii="Arial" w:hAnsi="Arial" w:cs="Arial"/>
              </w:rPr>
            </w:pPr>
            <w:r>
              <w:rPr>
                <w:rFonts w:ascii="Arial" w:hAnsi="Arial" w:cs="Arial"/>
              </w:rPr>
              <w:t>Ryan Garcia</w:t>
            </w:r>
          </w:p>
        </w:tc>
      </w:tr>
      <w:tr w:rsidR="00F91AA5" w:rsidRPr="00082414" w14:paraId="76867EC7" w14:textId="77777777" w:rsidTr="005F5980">
        <w:trPr>
          <w:cantSplit/>
        </w:trPr>
        <w:tc>
          <w:tcPr>
            <w:tcW w:w="3192" w:type="dxa"/>
            <w:tcBorders>
              <w:top w:val="single" w:sz="8" w:space="0" w:color="F79646"/>
              <w:left w:val="single" w:sz="8" w:space="0" w:color="F79646"/>
              <w:bottom w:val="single" w:sz="8" w:space="0" w:color="F79646"/>
              <w:right w:val="single" w:sz="8" w:space="0" w:color="F79646"/>
            </w:tcBorders>
            <w:shd w:val="clear" w:color="auto" w:fill="FFFFFF"/>
          </w:tcPr>
          <w:p w14:paraId="6F3613B1" w14:textId="3458D749" w:rsidR="00F91AA5" w:rsidRPr="00082414" w:rsidRDefault="00F91AA5" w:rsidP="001602C3">
            <w:pPr>
              <w:rPr>
                <w:rFonts w:ascii="Arial" w:hAnsi="Arial" w:cs="Arial"/>
                <w:bCs/>
              </w:rPr>
            </w:pPr>
            <w:r w:rsidRPr="00082414">
              <w:rPr>
                <w:rFonts w:ascii="Arial" w:hAnsi="Arial" w:cs="Arial"/>
                <w:bCs/>
              </w:rPr>
              <w:t xml:space="preserve">3. Section 1194.23 Telecommunications  </w:t>
            </w:r>
          </w:p>
        </w:tc>
        <w:tc>
          <w:tcPr>
            <w:tcW w:w="3192" w:type="dxa"/>
            <w:tcBorders>
              <w:top w:val="single" w:sz="8" w:space="0" w:color="F79646"/>
              <w:left w:val="single" w:sz="8" w:space="0" w:color="F79646"/>
              <w:bottom w:val="single" w:sz="8" w:space="0" w:color="F79646"/>
              <w:right w:val="single" w:sz="8" w:space="0" w:color="F79646"/>
            </w:tcBorders>
            <w:shd w:val="clear" w:color="auto" w:fill="FFFFFF"/>
          </w:tcPr>
          <w:p w14:paraId="089E711A" w14:textId="77777777" w:rsidR="00F91AA5" w:rsidRPr="00082414" w:rsidRDefault="00A06763" w:rsidP="001602C3">
            <w:pPr>
              <w:rPr>
                <w:rFonts w:ascii="Arial" w:hAnsi="Arial" w:cs="Arial"/>
              </w:rPr>
            </w:pPr>
            <w:r>
              <w:rPr>
                <w:rFonts w:ascii="Arial" w:hAnsi="Arial" w:cs="Arial"/>
              </w:rPr>
              <w:t>Matt Hughes</w:t>
            </w:r>
          </w:p>
        </w:tc>
        <w:tc>
          <w:tcPr>
            <w:tcW w:w="3192" w:type="dxa"/>
            <w:tcBorders>
              <w:top w:val="single" w:sz="8" w:space="0" w:color="F79646"/>
              <w:left w:val="single" w:sz="8" w:space="0" w:color="F79646"/>
              <w:bottom w:val="single" w:sz="8" w:space="0" w:color="F79646"/>
              <w:right w:val="single" w:sz="8" w:space="0" w:color="F79646"/>
            </w:tcBorders>
            <w:shd w:val="clear" w:color="auto" w:fill="FFFFFF"/>
          </w:tcPr>
          <w:p w14:paraId="4165B967" w14:textId="77777777" w:rsidR="00F91AA5" w:rsidRPr="00082414" w:rsidRDefault="004335E7" w:rsidP="004335E7">
            <w:pPr>
              <w:rPr>
                <w:rFonts w:ascii="Arial" w:hAnsi="Arial" w:cs="Arial"/>
              </w:rPr>
            </w:pPr>
            <w:r>
              <w:rPr>
                <w:rFonts w:ascii="Arial" w:hAnsi="Arial" w:cs="Arial"/>
              </w:rPr>
              <w:t>Jerry Garcia</w:t>
            </w:r>
          </w:p>
        </w:tc>
      </w:tr>
      <w:tr w:rsidR="00F91AA5" w:rsidRPr="00082414" w14:paraId="6D8B74BA" w14:textId="77777777" w:rsidTr="005F5980">
        <w:trPr>
          <w:cantSplit/>
        </w:trPr>
        <w:tc>
          <w:tcPr>
            <w:tcW w:w="3192" w:type="dxa"/>
            <w:tcBorders>
              <w:top w:val="single" w:sz="8" w:space="0" w:color="F79646"/>
              <w:left w:val="single" w:sz="8" w:space="0" w:color="F79646"/>
              <w:bottom w:val="single" w:sz="8" w:space="0" w:color="F79646"/>
              <w:right w:val="single" w:sz="8" w:space="0" w:color="F79646"/>
            </w:tcBorders>
            <w:shd w:val="clear" w:color="auto" w:fill="FDE4D0"/>
          </w:tcPr>
          <w:p w14:paraId="20BA9ABF" w14:textId="77777777" w:rsidR="00F91AA5" w:rsidRPr="00082414" w:rsidRDefault="008D6257" w:rsidP="001602C3">
            <w:pPr>
              <w:rPr>
                <w:rFonts w:ascii="Arial" w:hAnsi="Arial" w:cs="Arial"/>
                <w:bCs/>
              </w:rPr>
            </w:pPr>
            <w:r w:rsidRPr="00082414">
              <w:rPr>
                <w:rFonts w:ascii="Arial" w:hAnsi="Arial" w:cs="Arial"/>
                <w:bCs/>
              </w:rPr>
              <w:lastRenderedPageBreak/>
              <w:t>4. Section</w:t>
            </w:r>
            <w:r w:rsidR="00F91AA5" w:rsidRPr="00082414">
              <w:rPr>
                <w:rFonts w:ascii="Arial" w:hAnsi="Arial" w:cs="Arial"/>
                <w:bCs/>
              </w:rPr>
              <w:t xml:space="preserve"> 1194.24 Video and Multimedia Products.</w:t>
            </w:r>
          </w:p>
        </w:tc>
        <w:tc>
          <w:tcPr>
            <w:tcW w:w="3192" w:type="dxa"/>
            <w:tcBorders>
              <w:top w:val="single" w:sz="8" w:space="0" w:color="F79646"/>
              <w:left w:val="single" w:sz="8" w:space="0" w:color="F79646"/>
              <w:bottom w:val="single" w:sz="8" w:space="0" w:color="F79646"/>
              <w:right w:val="single" w:sz="8" w:space="0" w:color="F79646"/>
            </w:tcBorders>
            <w:shd w:val="clear" w:color="auto" w:fill="FDE4D0"/>
          </w:tcPr>
          <w:p w14:paraId="31CF4E01" w14:textId="21A5D323" w:rsidR="00CD7A0C" w:rsidRDefault="00D00C21" w:rsidP="00CD7A0C">
            <w:pPr>
              <w:rPr>
                <w:rFonts w:ascii="Arial" w:hAnsi="Arial" w:cs="Arial"/>
              </w:rPr>
            </w:pPr>
            <w:r w:rsidRPr="00082414">
              <w:rPr>
                <w:rFonts w:ascii="Arial" w:hAnsi="Arial" w:cs="Arial"/>
              </w:rPr>
              <w:t xml:space="preserve">Jerry Garcia – </w:t>
            </w:r>
            <w:proofErr w:type="gramStart"/>
            <w:r w:rsidRPr="00082414">
              <w:rPr>
                <w:rFonts w:ascii="Arial" w:hAnsi="Arial" w:cs="Arial"/>
              </w:rPr>
              <w:t>Non Web</w:t>
            </w:r>
            <w:proofErr w:type="gramEnd"/>
            <w:r w:rsidRPr="00082414">
              <w:rPr>
                <w:rFonts w:ascii="Arial" w:hAnsi="Arial" w:cs="Arial"/>
              </w:rPr>
              <w:t>-based</w:t>
            </w:r>
            <w:r w:rsidR="00256F05">
              <w:rPr>
                <w:rFonts w:ascii="Arial" w:hAnsi="Arial" w:cs="Arial"/>
              </w:rPr>
              <w:t xml:space="preserve"> products</w:t>
            </w:r>
          </w:p>
          <w:p w14:paraId="78F0542D" w14:textId="33A3DC9D" w:rsidR="00F91AA5" w:rsidRPr="00082414" w:rsidRDefault="00CD7A0C" w:rsidP="00CD7A0C">
            <w:pPr>
              <w:rPr>
                <w:rFonts w:ascii="Arial" w:hAnsi="Arial" w:cs="Arial"/>
              </w:rPr>
            </w:pPr>
            <w:r>
              <w:rPr>
                <w:rFonts w:ascii="Arial" w:hAnsi="Arial" w:cs="Arial"/>
              </w:rPr>
              <w:t xml:space="preserve">Daniel Martinez </w:t>
            </w:r>
            <w:r w:rsidR="00D00C21" w:rsidRPr="00082414">
              <w:rPr>
                <w:rFonts w:ascii="Arial" w:hAnsi="Arial" w:cs="Arial"/>
              </w:rPr>
              <w:t>– Web-based</w:t>
            </w:r>
            <w:r w:rsidR="00256F05">
              <w:rPr>
                <w:rFonts w:ascii="Arial" w:hAnsi="Arial" w:cs="Arial"/>
              </w:rPr>
              <w:t xml:space="preserve"> products</w:t>
            </w:r>
          </w:p>
        </w:tc>
        <w:tc>
          <w:tcPr>
            <w:tcW w:w="3192" w:type="dxa"/>
            <w:tcBorders>
              <w:top w:val="single" w:sz="8" w:space="0" w:color="F79646"/>
              <w:left w:val="single" w:sz="8" w:space="0" w:color="F79646"/>
              <w:bottom w:val="single" w:sz="8" w:space="0" w:color="F79646"/>
              <w:right w:val="single" w:sz="8" w:space="0" w:color="F79646"/>
            </w:tcBorders>
            <w:shd w:val="clear" w:color="auto" w:fill="FDE4D0"/>
          </w:tcPr>
          <w:p w14:paraId="36DA3E0E" w14:textId="77777777" w:rsidR="00390777" w:rsidRPr="00082414" w:rsidRDefault="00390777" w:rsidP="001602C3">
            <w:pPr>
              <w:rPr>
                <w:rFonts w:ascii="Arial" w:hAnsi="Arial" w:cs="Arial"/>
              </w:rPr>
            </w:pPr>
          </w:p>
        </w:tc>
      </w:tr>
      <w:tr w:rsidR="00F91AA5" w:rsidRPr="00082414" w14:paraId="4298F222" w14:textId="77777777" w:rsidTr="005F5980">
        <w:trPr>
          <w:cantSplit/>
        </w:trPr>
        <w:tc>
          <w:tcPr>
            <w:tcW w:w="3192" w:type="dxa"/>
            <w:tcBorders>
              <w:top w:val="single" w:sz="8" w:space="0" w:color="F79646"/>
              <w:left w:val="single" w:sz="8" w:space="0" w:color="F79646"/>
              <w:bottom w:val="single" w:sz="8" w:space="0" w:color="F79646"/>
              <w:right w:val="single" w:sz="8" w:space="0" w:color="F79646"/>
            </w:tcBorders>
            <w:shd w:val="clear" w:color="auto" w:fill="FFFFFF"/>
          </w:tcPr>
          <w:p w14:paraId="1A09F504" w14:textId="77777777" w:rsidR="00F91AA5" w:rsidRPr="00082414" w:rsidRDefault="008D6257" w:rsidP="001602C3">
            <w:pPr>
              <w:rPr>
                <w:rFonts w:ascii="Arial" w:hAnsi="Arial" w:cs="Arial"/>
                <w:bCs/>
              </w:rPr>
            </w:pPr>
            <w:r w:rsidRPr="00082414">
              <w:rPr>
                <w:rFonts w:ascii="Arial" w:hAnsi="Arial" w:cs="Arial"/>
                <w:bCs/>
              </w:rPr>
              <w:t>5. Section</w:t>
            </w:r>
            <w:r w:rsidR="00F91AA5" w:rsidRPr="00082414">
              <w:rPr>
                <w:rFonts w:ascii="Arial" w:hAnsi="Arial" w:cs="Arial"/>
                <w:bCs/>
              </w:rPr>
              <w:t xml:space="preserve"> 1194.25 Self-Contained, Closed Products.  </w:t>
            </w:r>
          </w:p>
        </w:tc>
        <w:tc>
          <w:tcPr>
            <w:tcW w:w="3192" w:type="dxa"/>
            <w:tcBorders>
              <w:top w:val="single" w:sz="8" w:space="0" w:color="F79646"/>
              <w:left w:val="single" w:sz="8" w:space="0" w:color="F79646"/>
              <w:bottom w:val="single" w:sz="8" w:space="0" w:color="F79646"/>
              <w:right w:val="single" w:sz="8" w:space="0" w:color="F79646"/>
            </w:tcBorders>
            <w:shd w:val="clear" w:color="auto" w:fill="FFFFFF"/>
          </w:tcPr>
          <w:p w14:paraId="0B094E3B" w14:textId="77777777" w:rsidR="00A06763" w:rsidRDefault="00D00C21" w:rsidP="00A06763">
            <w:pPr>
              <w:rPr>
                <w:rFonts w:ascii="Arial" w:hAnsi="Arial" w:cs="Arial"/>
              </w:rPr>
            </w:pPr>
            <w:r w:rsidRPr="00082414">
              <w:rPr>
                <w:rFonts w:ascii="Arial" w:hAnsi="Arial" w:cs="Arial"/>
              </w:rPr>
              <w:t>Jerry Garcia</w:t>
            </w:r>
          </w:p>
          <w:p w14:paraId="7F0AF49D" w14:textId="77777777" w:rsidR="00A06763" w:rsidRPr="00082414" w:rsidRDefault="004270A5" w:rsidP="00A06763">
            <w:pPr>
              <w:rPr>
                <w:rFonts w:ascii="Arial" w:hAnsi="Arial" w:cs="Arial"/>
              </w:rPr>
            </w:pPr>
            <w:r>
              <w:rPr>
                <w:rFonts w:ascii="Arial" w:hAnsi="Arial" w:cs="Arial"/>
              </w:rPr>
              <w:t>Jess Paredes</w:t>
            </w:r>
          </w:p>
        </w:tc>
        <w:tc>
          <w:tcPr>
            <w:tcW w:w="3192" w:type="dxa"/>
            <w:tcBorders>
              <w:top w:val="single" w:sz="8" w:space="0" w:color="F79646"/>
              <w:left w:val="single" w:sz="8" w:space="0" w:color="F79646"/>
              <w:bottom w:val="single" w:sz="8" w:space="0" w:color="F79646"/>
              <w:right w:val="single" w:sz="8" w:space="0" w:color="F79646"/>
            </w:tcBorders>
            <w:shd w:val="clear" w:color="auto" w:fill="FFFFFF"/>
          </w:tcPr>
          <w:p w14:paraId="62571A4D" w14:textId="77777777" w:rsidR="00F91AA5" w:rsidRPr="00082414" w:rsidRDefault="00F91AA5" w:rsidP="001602C3">
            <w:pPr>
              <w:rPr>
                <w:rFonts w:ascii="Arial" w:hAnsi="Arial" w:cs="Arial"/>
              </w:rPr>
            </w:pPr>
          </w:p>
        </w:tc>
      </w:tr>
      <w:tr w:rsidR="00F91AA5" w:rsidRPr="00082414" w14:paraId="4DF53D6A" w14:textId="77777777" w:rsidTr="005F5980">
        <w:trPr>
          <w:cantSplit/>
        </w:trPr>
        <w:tc>
          <w:tcPr>
            <w:tcW w:w="3192" w:type="dxa"/>
            <w:tcBorders>
              <w:top w:val="single" w:sz="8" w:space="0" w:color="F79646"/>
              <w:left w:val="single" w:sz="8" w:space="0" w:color="F79646"/>
              <w:bottom w:val="single" w:sz="8" w:space="0" w:color="F79646"/>
              <w:right w:val="single" w:sz="8" w:space="0" w:color="F79646"/>
            </w:tcBorders>
            <w:shd w:val="clear" w:color="auto" w:fill="FDE4D0"/>
          </w:tcPr>
          <w:p w14:paraId="008DED5A" w14:textId="77777777" w:rsidR="00F91AA5" w:rsidRPr="00082414" w:rsidRDefault="008D6257" w:rsidP="001602C3">
            <w:pPr>
              <w:rPr>
                <w:rFonts w:ascii="Arial" w:hAnsi="Arial" w:cs="Arial"/>
                <w:bCs/>
              </w:rPr>
            </w:pPr>
            <w:r w:rsidRPr="00082414">
              <w:rPr>
                <w:rFonts w:ascii="Arial" w:hAnsi="Arial" w:cs="Arial"/>
                <w:bCs/>
              </w:rPr>
              <w:t>6. Section</w:t>
            </w:r>
            <w:r w:rsidR="00F91AA5" w:rsidRPr="00082414">
              <w:rPr>
                <w:rFonts w:ascii="Arial" w:hAnsi="Arial" w:cs="Arial"/>
                <w:bCs/>
              </w:rPr>
              <w:t xml:space="preserve"> 1194.26 Desktop and Portable Computers.  </w:t>
            </w:r>
          </w:p>
        </w:tc>
        <w:tc>
          <w:tcPr>
            <w:tcW w:w="3192" w:type="dxa"/>
            <w:tcBorders>
              <w:top w:val="single" w:sz="8" w:space="0" w:color="F79646"/>
              <w:left w:val="single" w:sz="8" w:space="0" w:color="F79646"/>
              <w:bottom w:val="single" w:sz="8" w:space="0" w:color="F79646"/>
              <w:right w:val="single" w:sz="8" w:space="0" w:color="F79646"/>
            </w:tcBorders>
            <w:shd w:val="clear" w:color="auto" w:fill="FDE4D0"/>
          </w:tcPr>
          <w:p w14:paraId="5FD757DB" w14:textId="77777777" w:rsidR="00CD7A0C" w:rsidRPr="00082414" w:rsidRDefault="00CD7A0C" w:rsidP="00CD7A0C">
            <w:pPr>
              <w:rPr>
                <w:rFonts w:ascii="Arial" w:hAnsi="Arial" w:cs="Arial"/>
              </w:rPr>
            </w:pPr>
            <w:r>
              <w:rPr>
                <w:rFonts w:ascii="Arial" w:hAnsi="Arial" w:cs="Arial"/>
              </w:rPr>
              <w:t>Jerry Garcia</w:t>
            </w:r>
          </w:p>
          <w:p w14:paraId="6352554F" w14:textId="77777777" w:rsidR="00D00C21" w:rsidRPr="00082414" w:rsidRDefault="00D00C21" w:rsidP="001602C3">
            <w:pPr>
              <w:rPr>
                <w:rFonts w:ascii="Arial" w:hAnsi="Arial" w:cs="Arial"/>
              </w:rPr>
            </w:pPr>
          </w:p>
        </w:tc>
        <w:tc>
          <w:tcPr>
            <w:tcW w:w="3192" w:type="dxa"/>
            <w:tcBorders>
              <w:top w:val="single" w:sz="8" w:space="0" w:color="F79646"/>
              <w:left w:val="single" w:sz="8" w:space="0" w:color="F79646"/>
              <w:bottom w:val="single" w:sz="8" w:space="0" w:color="F79646"/>
              <w:right w:val="single" w:sz="8" w:space="0" w:color="F79646"/>
            </w:tcBorders>
            <w:shd w:val="clear" w:color="auto" w:fill="FDE4D0"/>
          </w:tcPr>
          <w:p w14:paraId="689F9A74" w14:textId="77777777" w:rsidR="00F91AA5" w:rsidRPr="00082414" w:rsidRDefault="00F91AA5" w:rsidP="001602C3">
            <w:pPr>
              <w:rPr>
                <w:rFonts w:ascii="Arial" w:hAnsi="Arial" w:cs="Arial"/>
              </w:rPr>
            </w:pPr>
          </w:p>
        </w:tc>
      </w:tr>
    </w:tbl>
    <w:p w14:paraId="5441ED37" w14:textId="77777777" w:rsidR="00352EA2" w:rsidRDefault="00352EA2" w:rsidP="00570C72">
      <w:pPr>
        <w:pStyle w:val="Heading2"/>
        <w:rPr>
          <w:i w:val="0"/>
        </w:rPr>
      </w:pPr>
    </w:p>
    <w:p w14:paraId="00362B6E" w14:textId="77777777" w:rsidR="002D0D16" w:rsidRDefault="002D0D16" w:rsidP="002D0D16">
      <w:pPr>
        <w:pStyle w:val="Heading2"/>
      </w:pPr>
      <w:r>
        <w:t>Appendix</w:t>
      </w:r>
    </w:p>
    <w:p w14:paraId="392CC346" w14:textId="77777777" w:rsidR="002D0D16" w:rsidRDefault="002D0D16" w:rsidP="002D0D16"/>
    <w:p w14:paraId="054C23A2" w14:textId="77777777" w:rsidR="002D0D16" w:rsidRDefault="002D0D16" w:rsidP="002D0D16">
      <w:r>
        <w:t xml:space="preserve">The following documents can be obtained at </w:t>
      </w:r>
      <w:hyperlink r:id="rId11" w:history="1">
        <w:r w:rsidRPr="007C1A06">
          <w:rPr>
            <w:rStyle w:val="Hyperlink"/>
          </w:rPr>
          <w:t>http://www.csuci.edu/ati/sla/testing-sla.htm</w:t>
        </w:r>
      </w:hyperlink>
      <w:r>
        <w:t xml:space="preserve"> </w:t>
      </w:r>
    </w:p>
    <w:p w14:paraId="54FFBF7D" w14:textId="77777777" w:rsidR="002D0D16" w:rsidRDefault="002D0D16" w:rsidP="002D0D16"/>
    <w:p w14:paraId="7261FCBE" w14:textId="77777777" w:rsidR="002D0D16" w:rsidRDefault="002D0D16" w:rsidP="002D0D16">
      <w:pPr>
        <w:numPr>
          <w:ilvl w:val="0"/>
          <w:numId w:val="16"/>
        </w:numPr>
      </w:pPr>
      <w:r>
        <w:t>Accessibility Testing Product Instructions (ATPI)</w:t>
      </w:r>
    </w:p>
    <w:p w14:paraId="3429F92A" w14:textId="77777777" w:rsidR="002D0D16" w:rsidRDefault="002D0D16" w:rsidP="002D0D16">
      <w:pPr>
        <w:numPr>
          <w:ilvl w:val="0"/>
          <w:numId w:val="16"/>
        </w:numPr>
      </w:pPr>
      <w:r>
        <w:t>Accessibility Testing Product Results (ATPR)</w:t>
      </w:r>
    </w:p>
    <w:p w14:paraId="494888B7" w14:textId="77777777" w:rsidR="002D0D16" w:rsidRDefault="002D0D16" w:rsidP="002D0D16">
      <w:pPr>
        <w:numPr>
          <w:ilvl w:val="0"/>
          <w:numId w:val="16"/>
        </w:numPr>
      </w:pPr>
      <w:r>
        <w:t>Equally Effective Alternative Access Plan (EEAAP)</w:t>
      </w:r>
    </w:p>
    <w:p w14:paraId="7EB1A0C1" w14:textId="77777777" w:rsidR="002D0D16" w:rsidRPr="002D0D16" w:rsidRDefault="002D0D16" w:rsidP="002D0D16"/>
    <w:sectPr w:rsidR="002D0D16" w:rsidRPr="002D0D16" w:rsidSect="002D0D16">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15368" w14:textId="77777777" w:rsidR="00F834BF" w:rsidRDefault="00F834BF" w:rsidP="00082414">
      <w:r>
        <w:separator/>
      </w:r>
    </w:p>
  </w:endnote>
  <w:endnote w:type="continuationSeparator" w:id="0">
    <w:p w14:paraId="4E7C0A9A" w14:textId="77777777" w:rsidR="00F834BF" w:rsidRDefault="00F834BF" w:rsidP="0008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4DF1" w14:textId="77777777" w:rsidR="007A7D8E" w:rsidRDefault="007A7D8E" w:rsidP="00352EA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90632">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90632">
      <w:rPr>
        <w:b/>
        <w:noProof/>
      </w:rPr>
      <w:t>5</w:t>
    </w:r>
    <w:r>
      <w:rPr>
        <w:b/>
        <w:sz w:val="24"/>
        <w:szCs w:val="24"/>
      </w:rPr>
      <w:fldChar w:fldCharType="end"/>
    </w:r>
  </w:p>
  <w:p w14:paraId="4D6B1C72" w14:textId="77777777" w:rsidR="007A7D8E" w:rsidRDefault="007A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8199C" w14:textId="77777777" w:rsidR="00F834BF" w:rsidRDefault="00F834BF" w:rsidP="00082414">
      <w:r>
        <w:separator/>
      </w:r>
    </w:p>
  </w:footnote>
  <w:footnote w:type="continuationSeparator" w:id="0">
    <w:p w14:paraId="1038DAA0" w14:textId="77777777" w:rsidR="00F834BF" w:rsidRDefault="00F834BF" w:rsidP="00082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36F9" w14:textId="618487E7" w:rsidR="00D43670" w:rsidRPr="002D0D16" w:rsidRDefault="005C5594" w:rsidP="002D0D16">
    <w:pPr>
      <w:pStyle w:val="Header"/>
      <w:jc w:val="center"/>
      <w:rPr>
        <w:b/>
      </w:rPr>
    </w:pPr>
    <w:r>
      <w:rPr>
        <w:b/>
        <w:noProof/>
      </w:rPr>
      <w:drawing>
        <wp:inline distT="0" distB="0" distL="0" distR="0" wp14:anchorId="2B6075F1" wp14:editId="42ADF52D">
          <wp:extent cx="1877652" cy="84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t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7652" cy="840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04F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164A57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7561A4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0A41D3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7402BB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8E08F1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642CE1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BEEE8D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54A2C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9ECE86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D5A24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33D10"/>
    <w:multiLevelType w:val="hybridMultilevel"/>
    <w:tmpl w:val="B338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F66B1"/>
    <w:multiLevelType w:val="hybridMultilevel"/>
    <w:tmpl w:val="C5C4895E"/>
    <w:lvl w:ilvl="0" w:tplc="0409000F">
      <w:start w:val="1"/>
      <w:numFmt w:val="decimal"/>
      <w:lvlText w:val="%1."/>
      <w:lvlJc w:val="left"/>
      <w:pPr>
        <w:ind w:left="720" w:hanging="360"/>
      </w:pPr>
    </w:lvl>
    <w:lvl w:ilvl="1" w:tplc="26BC4F0A">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D4239A"/>
    <w:multiLevelType w:val="hybridMultilevel"/>
    <w:tmpl w:val="34C6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735F22"/>
    <w:multiLevelType w:val="hybridMultilevel"/>
    <w:tmpl w:val="F14ED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9E4B32"/>
    <w:multiLevelType w:val="hybridMultilevel"/>
    <w:tmpl w:val="E6B8A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C41E0A"/>
    <w:multiLevelType w:val="hybridMultilevel"/>
    <w:tmpl w:val="21C4D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AB15EA"/>
    <w:multiLevelType w:val="hybridMultilevel"/>
    <w:tmpl w:val="B3EE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D2567"/>
    <w:multiLevelType w:val="hybridMultilevel"/>
    <w:tmpl w:val="4C84C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6004F4"/>
    <w:multiLevelType w:val="hybridMultilevel"/>
    <w:tmpl w:val="5FA0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54A13"/>
    <w:multiLevelType w:val="hybridMultilevel"/>
    <w:tmpl w:val="07F81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736FFD"/>
    <w:multiLevelType w:val="hybridMultilevel"/>
    <w:tmpl w:val="353236D8"/>
    <w:lvl w:ilvl="0" w:tplc="83EEE62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F73631"/>
    <w:multiLevelType w:val="hybridMultilevel"/>
    <w:tmpl w:val="658066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D757E4"/>
    <w:multiLevelType w:val="hybridMultilevel"/>
    <w:tmpl w:val="FE9E8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9A4A8C"/>
    <w:multiLevelType w:val="hybridMultilevel"/>
    <w:tmpl w:val="1D94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A4502"/>
    <w:multiLevelType w:val="hybridMultilevel"/>
    <w:tmpl w:val="2D522E3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8C56EC7"/>
    <w:multiLevelType w:val="hybridMultilevel"/>
    <w:tmpl w:val="19F4E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05FFF"/>
    <w:multiLevelType w:val="hybridMultilevel"/>
    <w:tmpl w:val="C5C4895E"/>
    <w:lvl w:ilvl="0" w:tplc="0409000F">
      <w:start w:val="1"/>
      <w:numFmt w:val="decimal"/>
      <w:lvlText w:val="%1."/>
      <w:lvlJc w:val="left"/>
      <w:pPr>
        <w:ind w:left="720" w:hanging="360"/>
      </w:pPr>
    </w:lvl>
    <w:lvl w:ilvl="1" w:tplc="26BC4F0A">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70284"/>
    <w:multiLevelType w:val="hybridMultilevel"/>
    <w:tmpl w:val="480E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D67202"/>
    <w:multiLevelType w:val="hybridMultilevel"/>
    <w:tmpl w:val="074E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81800"/>
    <w:multiLevelType w:val="hybridMultilevel"/>
    <w:tmpl w:val="D5DE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43B70"/>
    <w:multiLevelType w:val="hybridMultilevel"/>
    <w:tmpl w:val="E1FE835C"/>
    <w:lvl w:ilvl="0" w:tplc="0409000F">
      <w:start w:val="1"/>
      <w:numFmt w:val="decimal"/>
      <w:lvlText w:val="%1."/>
      <w:lvlJc w:val="left"/>
      <w:pPr>
        <w:ind w:left="360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F66483"/>
    <w:multiLevelType w:val="hybridMultilevel"/>
    <w:tmpl w:val="A95A7D08"/>
    <w:lvl w:ilvl="0" w:tplc="26BC4F0A">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669A657A"/>
    <w:multiLevelType w:val="hybridMultilevel"/>
    <w:tmpl w:val="7CD2F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CB5983"/>
    <w:multiLevelType w:val="hybridMultilevel"/>
    <w:tmpl w:val="24427D5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524F9"/>
    <w:multiLevelType w:val="hybridMultilevel"/>
    <w:tmpl w:val="1936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01766"/>
    <w:multiLevelType w:val="hybridMultilevel"/>
    <w:tmpl w:val="BA20DFC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C964D73"/>
    <w:multiLevelType w:val="hybridMultilevel"/>
    <w:tmpl w:val="0498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170B2"/>
    <w:multiLevelType w:val="hybridMultilevel"/>
    <w:tmpl w:val="6D222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33"/>
  </w:num>
  <w:num w:numId="4">
    <w:abstractNumId w:val="12"/>
  </w:num>
  <w:num w:numId="5">
    <w:abstractNumId w:val="17"/>
  </w:num>
  <w:num w:numId="6">
    <w:abstractNumId w:val="35"/>
  </w:num>
  <w:num w:numId="7">
    <w:abstractNumId w:val="14"/>
  </w:num>
  <w:num w:numId="8">
    <w:abstractNumId w:val="22"/>
  </w:num>
  <w:num w:numId="9">
    <w:abstractNumId w:val="36"/>
  </w:num>
  <w:num w:numId="10">
    <w:abstractNumId w:val="25"/>
  </w:num>
  <w:num w:numId="11">
    <w:abstractNumId w:val="34"/>
  </w:num>
  <w:num w:numId="12">
    <w:abstractNumId w:val="20"/>
  </w:num>
  <w:num w:numId="13">
    <w:abstractNumId w:val="31"/>
  </w:num>
  <w:num w:numId="14">
    <w:abstractNumId w:val="32"/>
  </w:num>
  <w:num w:numId="15">
    <w:abstractNumId w:val="21"/>
  </w:num>
  <w:num w:numId="16">
    <w:abstractNumId w:val="19"/>
  </w:num>
  <w:num w:numId="17">
    <w:abstractNumId w:val="37"/>
  </w:num>
  <w:num w:numId="18">
    <w:abstractNumId w:val="0"/>
  </w:num>
  <w:num w:numId="19">
    <w:abstractNumId w:val="30"/>
  </w:num>
  <w:num w:numId="20">
    <w:abstractNumId w:val="23"/>
  </w:num>
  <w:num w:numId="21">
    <w:abstractNumId w:val="29"/>
  </w:num>
  <w:num w:numId="22">
    <w:abstractNumId w:val="13"/>
  </w:num>
  <w:num w:numId="23">
    <w:abstractNumId w:val="1"/>
  </w:num>
  <w:num w:numId="24">
    <w:abstractNumId w:val="2"/>
  </w:num>
  <w:num w:numId="25">
    <w:abstractNumId w:val="3"/>
  </w:num>
  <w:num w:numId="26">
    <w:abstractNumId w:val="4"/>
  </w:num>
  <w:num w:numId="27">
    <w:abstractNumId w:val="9"/>
  </w:num>
  <w:num w:numId="28">
    <w:abstractNumId w:val="5"/>
  </w:num>
  <w:num w:numId="29">
    <w:abstractNumId w:val="6"/>
  </w:num>
  <w:num w:numId="30">
    <w:abstractNumId w:val="7"/>
  </w:num>
  <w:num w:numId="31">
    <w:abstractNumId w:val="8"/>
  </w:num>
  <w:num w:numId="32">
    <w:abstractNumId w:val="10"/>
  </w:num>
  <w:num w:numId="33">
    <w:abstractNumId w:val="27"/>
  </w:num>
  <w:num w:numId="34">
    <w:abstractNumId w:val="24"/>
  </w:num>
  <w:num w:numId="35">
    <w:abstractNumId w:val="28"/>
  </w:num>
  <w:num w:numId="36">
    <w:abstractNumId w:val="11"/>
  </w:num>
  <w:num w:numId="37">
    <w:abstractNumId w:val="38"/>
  </w:num>
  <w:num w:numId="38">
    <w:abstractNumId w:val="2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C1"/>
    <w:rsid w:val="00007906"/>
    <w:rsid w:val="00082414"/>
    <w:rsid w:val="000918E9"/>
    <w:rsid w:val="00096D58"/>
    <w:rsid w:val="000B36ED"/>
    <w:rsid w:val="000D744F"/>
    <w:rsid w:val="00101DEF"/>
    <w:rsid w:val="00111BAA"/>
    <w:rsid w:val="00153918"/>
    <w:rsid w:val="001602C3"/>
    <w:rsid w:val="0016747A"/>
    <w:rsid w:val="001831CC"/>
    <w:rsid w:val="00194B00"/>
    <w:rsid w:val="002267ED"/>
    <w:rsid w:val="002308FE"/>
    <w:rsid w:val="00247298"/>
    <w:rsid w:val="00253D69"/>
    <w:rsid w:val="00256F05"/>
    <w:rsid w:val="00266DB6"/>
    <w:rsid w:val="002754AF"/>
    <w:rsid w:val="00294F33"/>
    <w:rsid w:val="002A43C5"/>
    <w:rsid w:val="002A5580"/>
    <w:rsid w:val="002C239F"/>
    <w:rsid w:val="002C6D44"/>
    <w:rsid w:val="002D0D16"/>
    <w:rsid w:val="002D36BF"/>
    <w:rsid w:val="002E65F6"/>
    <w:rsid w:val="00307E0A"/>
    <w:rsid w:val="00351FBA"/>
    <w:rsid w:val="00352EA2"/>
    <w:rsid w:val="00367CAD"/>
    <w:rsid w:val="00375483"/>
    <w:rsid w:val="00390632"/>
    <w:rsid w:val="00390777"/>
    <w:rsid w:val="003A44A1"/>
    <w:rsid w:val="003C7E92"/>
    <w:rsid w:val="003D7F93"/>
    <w:rsid w:val="003E3627"/>
    <w:rsid w:val="003E4B11"/>
    <w:rsid w:val="00401371"/>
    <w:rsid w:val="00415CCD"/>
    <w:rsid w:val="00424C16"/>
    <w:rsid w:val="004270A5"/>
    <w:rsid w:val="004335E7"/>
    <w:rsid w:val="00444CEC"/>
    <w:rsid w:val="004866CD"/>
    <w:rsid w:val="004940FD"/>
    <w:rsid w:val="004C3DFC"/>
    <w:rsid w:val="004E255D"/>
    <w:rsid w:val="00525FD2"/>
    <w:rsid w:val="0055717E"/>
    <w:rsid w:val="00570C72"/>
    <w:rsid w:val="00583294"/>
    <w:rsid w:val="005C5594"/>
    <w:rsid w:val="005C6D1B"/>
    <w:rsid w:val="005D3EB6"/>
    <w:rsid w:val="005D5EF4"/>
    <w:rsid w:val="005F5980"/>
    <w:rsid w:val="005F7A67"/>
    <w:rsid w:val="00616A9A"/>
    <w:rsid w:val="006804D6"/>
    <w:rsid w:val="006811AF"/>
    <w:rsid w:val="006922C1"/>
    <w:rsid w:val="006C1A6D"/>
    <w:rsid w:val="006C2CF7"/>
    <w:rsid w:val="006D0A92"/>
    <w:rsid w:val="00720E67"/>
    <w:rsid w:val="0075625D"/>
    <w:rsid w:val="0075677C"/>
    <w:rsid w:val="00762AF5"/>
    <w:rsid w:val="0079523E"/>
    <w:rsid w:val="007A7D8E"/>
    <w:rsid w:val="007B36A0"/>
    <w:rsid w:val="007E7F41"/>
    <w:rsid w:val="00816313"/>
    <w:rsid w:val="008735F5"/>
    <w:rsid w:val="008834BA"/>
    <w:rsid w:val="008B5ABE"/>
    <w:rsid w:val="008D6257"/>
    <w:rsid w:val="008F23BA"/>
    <w:rsid w:val="009232AE"/>
    <w:rsid w:val="0095551E"/>
    <w:rsid w:val="00971DE7"/>
    <w:rsid w:val="00985ECE"/>
    <w:rsid w:val="009B1458"/>
    <w:rsid w:val="009F1EC6"/>
    <w:rsid w:val="00A06763"/>
    <w:rsid w:val="00A10099"/>
    <w:rsid w:val="00A12036"/>
    <w:rsid w:val="00A52866"/>
    <w:rsid w:val="00A76B07"/>
    <w:rsid w:val="00A84030"/>
    <w:rsid w:val="00AC4EB8"/>
    <w:rsid w:val="00AC6DCF"/>
    <w:rsid w:val="00B02EC1"/>
    <w:rsid w:val="00B350D2"/>
    <w:rsid w:val="00B41DAD"/>
    <w:rsid w:val="00B46106"/>
    <w:rsid w:val="00B515D4"/>
    <w:rsid w:val="00BA2A58"/>
    <w:rsid w:val="00BC76F8"/>
    <w:rsid w:val="00BE1B7A"/>
    <w:rsid w:val="00C12696"/>
    <w:rsid w:val="00C337F4"/>
    <w:rsid w:val="00C502E1"/>
    <w:rsid w:val="00C9530E"/>
    <w:rsid w:val="00CB39C8"/>
    <w:rsid w:val="00CD2411"/>
    <w:rsid w:val="00CD2CFB"/>
    <w:rsid w:val="00CD5FF6"/>
    <w:rsid w:val="00CD7A0C"/>
    <w:rsid w:val="00CE09E1"/>
    <w:rsid w:val="00CE3E69"/>
    <w:rsid w:val="00D00C21"/>
    <w:rsid w:val="00D43670"/>
    <w:rsid w:val="00D456AB"/>
    <w:rsid w:val="00D46B6B"/>
    <w:rsid w:val="00DA4C31"/>
    <w:rsid w:val="00DB7509"/>
    <w:rsid w:val="00DC67DC"/>
    <w:rsid w:val="00DD64C2"/>
    <w:rsid w:val="00DE31E7"/>
    <w:rsid w:val="00DF72B0"/>
    <w:rsid w:val="00E0028C"/>
    <w:rsid w:val="00E13566"/>
    <w:rsid w:val="00E16775"/>
    <w:rsid w:val="00E246D4"/>
    <w:rsid w:val="00E308EE"/>
    <w:rsid w:val="00E32E98"/>
    <w:rsid w:val="00E43D15"/>
    <w:rsid w:val="00E720B2"/>
    <w:rsid w:val="00E754F5"/>
    <w:rsid w:val="00E7632D"/>
    <w:rsid w:val="00E90C4E"/>
    <w:rsid w:val="00E97DB9"/>
    <w:rsid w:val="00ED1DEB"/>
    <w:rsid w:val="00EF40EC"/>
    <w:rsid w:val="00F17DF2"/>
    <w:rsid w:val="00F22F7F"/>
    <w:rsid w:val="00F356C3"/>
    <w:rsid w:val="00F35B71"/>
    <w:rsid w:val="00F362FC"/>
    <w:rsid w:val="00F51AF7"/>
    <w:rsid w:val="00F711CA"/>
    <w:rsid w:val="00F73E9B"/>
    <w:rsid w:val="00F828C6"/>
    <w:rsid w:val="00F834BF"/>
    <w:rsid w:val="00F91AA5"/>
    <w:rsid w:val="00F9338C"/>
    <w:rsid w:val="00FA6DFF"/>
    <w:rsid w:val="00FD174A"/>
    <w:rsid w:val="00FD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AB0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EC1"/>
    <w:rPr>
      <w:rFonts w:eastAsia="Times New Roman"/>
      <w:sz w:val="22"/>
      <w:szCs w:val="22"/>
    </w:rPr>
  </w:style>
  <w:style w:type="paragraph" w:styleId="Heading1">
    <w:name w:val="heading 1"/>
    <w:basedOn w:val="Normal"/>
    <w:next w:val="Normal"/>
    <w:link w:val="Heading1Char"/>
    <w:uiPriority w:val="9"/>
    <w:qFormat/>
    <w:rsid w:val="00CD7A0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352EA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375483"/>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37548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775"/>
    <w:pPr>
      <w:ind w:left="720"/>
      <w:contextualSpacing/>
    </w:pPr>
  </w:style>
  <w:style w:type="character" w:styleId="Hyperlink">
    <w:name w:val="Hyperlink"/>
    <w:rsid w:val="00A10099"/>
    <w:rPr>
      <w:color w:val="0000FF"/>
      <w:u w:val="single"/>
    </w:rPr>
  </w:style>
  <w:style w:type="paragraph" w:styleId="BalloonText">
    <w:name w:val="Balloon Text"/>
    <w:basedOn w:val="Normal"/>
    <w:link w:val="BalloonTextChar"/>
    <w:uiPriority w:val="99"/>
    <w:semiHidden/>
    <w:unhideWhenUsed/>
    <w:rsid w:val="00ED1DEB"/>
    <w:rPr>
      <w:rFonts w:ascii="Tahoma" w:hAnsi="Tahoma" w:cs="Tahoma"/>
      <w:sz w:val="16"/>
      <w:szCs w:val="16"/>
    </w:rPr>
  </w:style>
  <w:style w:type="character" w:customStyle="1" w:styleId="BalloonTextChar">
    <w:name w:val="Balloon Text Char"/>
    <w:link w:val="BalloonText"/>
    <w:uiPriority w:val="99"/>
    <w:semiHidden/>
    <w:rsid w:val="00ED1DEB"/>
    <w:rPr>
      <w:rFonts w:ascii="Tahoma" w:eastAsia="Times New Roman" w:hAnsi="Tahoma" w:cs="Tahoma"/>
      <w:sz w:val="16"/>
      <w:szCs w:val="16"/>
    </w:rPr>
  </w:style>
  <w:style w:type="table" w:styleId="TableGrid">
    <w:name w:val="Table Grid"/>
    <w:basedOn w:val="TableNormal"/>
    <w:uiPriority w:val="59"/>
    <w:rsid w:val="00F91A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6">
    <w:name w:val="Light Grid Accent 6"/>
    <w:basedOn w:val="TableNormal"/>
    <w:uiPriority w:val="62"/>
    <w:rsid w:val="00F91AA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Header">
    <w:name w:val="header"/>
    <w:basedOn w:val="Normal"/>
    <w:link w:val="HeaderChar"/>
    <w:uiPriority w:val="99"/>
    <w:unhideWhenUsed/>
    <w:rsid w:val="00082414"/>
    <w:pPr>
      <w:tabs>
        <w:tab w:val="center" w:pos="4680"/>
        <w:tab w:val="right" w:pos="9360"/>
      </w:tabs>
    </w:pPr>
  </w:style>
  <w:style w:type="character" w:customStyle="1" w:styleId="HeaderChar">
    <w:name w:val="Header Char"/>
    <w:link w:val="Header"/>
    <w:uiPriority w:val="99"/>
    <w:rsid w:val="00082414"/>
    <w:rPr>
      <w:rFonts w:eastAsia="Times New Roman"/>
      <w:sz w:val="22"/>
      <w:szCs w:val="22"/>
    </w:rPr>
  </w:style>
  <w:style w:type="paragraph" w:styleId="Footer">
    <w:name w:val="footer"/>
    <w:basedOn w:val="Normal"/>
    <w:link w:val="FooterChar"/>
    <w:uiPriority w:val="99"/>
    <w:unhideWhenUsed/>
    <w:rsid w:val="00082414"/>
    <w:pPr>
      <w:tabs>
        <w:tab w:val="center" w:pos="4680"/>
        <w:tab w:val="right" w:pos="9360"/>
      </w:tabs>
    </w:pPr>
  </w:style>
  <w:style w:type="character" w:customStyle="1" w:styleId="FooterChar">
    <w:name w:val="Footer Char"/>
    <w:link w:val="Footer"/>
    <w:uiPriority w:val="99"/>
    <w:rsid w:val="00082414"/>
    <w:rPr>
      <w:rFonts w:eastAsia="Times New Roman"/>
      <w:sz w:val="22"/>
      <w:szCs w:val="22"/>
    </w:rPr>
  </w:style>
  <w:style w:type="character" w:customStyle="1" w:styleId="Heading2Char">
    <w:name w:val="Heading 2 Char"/>
    <w:link w:val="Heading2"/>
    <w:uiPriority w:val="9"/>
    <w:rsid w:val="00352EA2"/>
    <w:rPr>
      <w:rFonts w:ascii="Cambria" w:eastAsia="Times New Roman" w:hAnsi="Cambria" w:cs="Times New Roman"/>
      <w:b/>
      <w:bCs/>
      <w:i/>
      <w:iCs/>
      <w:sz w:val="28"/>
      <w:szCs w:val="28"/>
    </w:rPr>
  </w:style>
  <w:style w:type="character" w:styleId="CommentReference">
    <w:name w:val="annotation reference"/>
    <w:uiPriority w:val="99"/>
    <w:semiHidden/>
    <w:unhideWhenUsed/>
    <w:rsid w:val="00FD44EC"/>
    <w:rPr>
      <w:sz w:val="16"/>
      <w:szCs w:val="16"/>
    </w:rPr>
  </w:style>
  <w:style w:type="paragraph" w:styleId="CommentText">
    <w:name w:val="annotation text"/>
    <w:basedOn w:val="Normal"/>
    <w:link w:val="CommentTextChar"/>
    <w:uiPriority w:val="99"/>
    <w:unhideWhenUsed/>
    <w:rsid w:val="00FD44EC"/>
    <w:rPr>
      <w:sz w:val="20"/>
      <w:szCs w:val="20"/>
    </w:rPr>
  </w:style>
  <w:style w:type="character" w:customStyle="1" w:styleId="CommentTextChar">
    <w:name w:val="Comment Text Char"/>
    <w:link w:val="CommentText"/>
    <w:uiPriority w:val="99"/>
    <w:rsid w:val="00FD44EC"/>
    <w:rPr>
      <w:rFonts w:eastAsia="Times New Roman"/>
    </w:rPr>
  </w:style>
  <w:style w:type="paragraph" w:styleId="CommentSubject">
    <w:name w:val="annotation subject"/>
    <w:basedOn w:val="CommentText"/>
    <w:next w:val="CommentText"/>
    <w:link w:val="CommentSubjectChar"/>
    <w:uiPriority w:val="99"/>
    <w:semiHidden/>
    <w:unhideWhenUsed/>
    <w:rsid w:val="00FD44EC"/>
    <w:rPr>
      <w:b/>
      <w:bCs/>
    </w:rPr>
  </w:style>
  <w:style w:type="character" w:customStyle="1" w:styleId="CommentSubjectChar">
    <w:name w:val="Comment Subject Char"/>
    <w:link w:val="CommentSubject"/>
    <w:uiPriority w:val="99"/>
    <w:semiHidden/>
    <w:rsid w:val="00FD44EC"/>
    <w:rPr>
      <w:rFonts w:eastAsia="Times New Roman"/>
      <w:b/>
      <w:bCs/>
    </w:rPr>
  </w:style>
  <w:style w:type="character" w:customStyle="1" w:styleId="Heading1Char">
    <w:name w:val="Heading 1 Char"/>
    <w:link w:val="Heading1"/>
    <w:uiPriority w:val="9"/>
    <w:rsid w:val="00CD7A0C"/>
    <w:rPr>
      <w:rFonts w:ascii="Calibri Light" w:eastAsia="Times New Roman" w:hAnsi="Calibri Light" w:cs="Times New Roman"/>
      <w:b/>
      <w:bCs/>
      <w:kern w:val="32"/>
      <w:sz w:val="32"/>
      <w:szCs w:val="32"/>
    </w:rPr>
  </w:style>
  <w:style w:type="character" w:customStyle="1" w:styleId="Heading4Char">
    <w:name w:val="Heading 4 Char"/>
    <w:link w:val="Heading4"/>
    <w:uiPriority w:val="9"/>
    <w:rsid w:val="00375483"/>
    <w:rPr>
      <w:rFonts w:ascii="Calibri" w:eastAsia="Times New Roman" w:hAnsi="Calibri" w:cs="Times New Roman"/>
      <w:b/>
      <w:bCs/>
      <w:sz w:val="28"/>
      <w:szCs w:val="28"/>
    </w:rPr>
  </w:style>
  <w:style w:type="character" w:customStyle="1" w:styleId="Heading3Char">
    <w:name w:val="Heading 3 Char"/>
    <w:link w:val="Heading3"/>
    <w:uiPriority w:val="9"/>
    <w:rsid w:val="00375483"/>
    <w:rPr>
      <w:rFonts w:ascii="Calibri Light" w:eastAsia="Times New Roman" w:hAnsi="Calibri Light" w:cs="Times New Roman"/>
      <w:b/>
      <w:bCs/>
      <w:sz w:val="26"/>
      <w:szCs w:val="26"/>
    </w:rPr>
  </w:style>
  <w:style w:type="character" w:styleId="FollowedHyperlink">
    <w:name w:val="FollowedHyperlink"/>
    <w:uiPriority w:val="99"/>
    <w:semiHidden/>
    <w:unhideWhenUsed/>
    <w:rsid w:val="002D0D16"/>
    <w:rPr>
      <w:color w:val="954F72"/>
      <w:u w:val="single"/>
    </w:rPr>
  </w:style>
  <w:style w:type="character" w:styleId="UnresolvedMention">
    <w:name w:val="Unresolved Mention"/>
    <w:basedOn w:val="DefaultParagraphFont"/>
    <w:uiPriority w:val="99"/>
    <w:rsid w:val="00256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266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ter.mosinskis@csuci.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ci.edu/ati/sla/testing-sla.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suci.edu/ati/sla)" TargetMode="External"/><Relationship Id="rId4" Type="http://schemas.openxmlformats.org/officeDocument/2006/relationships/settings" Target="settings.xml"/><Relationship Id="rId9" Type="http://schemas.openxmlformats.org/officeDocument/2006/relationships/hyperlink" Target="http://go.csuci.edu/ITP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0A429-C7B3-6B4E-BB0C-197418E1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SLA Section 508 testing</vt:lpstr>
    </vt:vector>
  </TitlesOfParts>
  <Company>CSUCI</Company>
  <LinksUpToDate>false</LinksUpToDate>
  <CharactersWithSpaces>9270</CharactersWithSpaces>
  <SharedDoc>false</SharedDoc>
  <HLinks>
    <vt:vector size="24" baseType="variant">
      <vt:variant>
        <vt:i4>4194393</vt:i4>
      </vt:variant>
      <vt:variant>
        <vt:i4>6</vt:i4>
      </vt:variant>
      <vt:variant>
        <vt:i4>0</vt:i4>
      </vt:variant>
      <vt:variant>
        <vt:i4>5</vt:i4>
      </vt:variant>
      <vt:variant>
        <vt:lpwstr>http://www.csuci.edu/ati/sla/testing-sla.htm</vt:lpwstr>
      </vt:variant>
      <vt:variant>
        <vt:lpwstr/>
      </vt:variant>
      <vt:variant>
        <vt:i4>6160443</vt:i4>
      </vt:variant>
      <vt:variant>
        <vt:i4>3</vt:i4>
      </vt:variant>
      <vt:variant>
        <vt:i4>0</vt:i4>
      </vt:variant>
      <vt:variant>
        <vt:i4>5</vt:i4>
      </vt:variant>
      <vt:variant>
        <vt:lpwstr>http://www.csuci.edu/ati/sla)</vt:lpwstr>
      </vt:variant>
      <vt:variant>
        <vt:lpwstr/>
      </vt:variant>
      <vt:variant>
        <vt:i4>2293873</vt:i4>
      </vt:variant>
      <vt:variant>
        <vt:i4>0</vt:i4>
      </vt:variant>
      <vt:variant>
        <vt:i4>0</vt:i4>
      </vt:variant>
      <vt:variant>
        <vt:i4>5</vt:i4>
      </vt:variant>
      <vt:variant>
        <vt:lpwstr>http://go.csuci.edu/ITPIA)</vt:lpwstr>
      </vt:variant>
      <vt:variant>
        <vt:lpwstr/>
      </vt:variant>
      <vt:variant>
        <vt:i4>3539045</vt:i4>
      </vt:variant>
      <vt:variant>
        <vt:i4>11252</vt:i4>
      </vt:variant>
      <vt:variant>
        <vt:i4>1025</vt:i4>
      </vt:variant>
      <vt:variant>
        <vt:i4>1</vt:i4>
      </vt:variant>
      <vt:variant>
        <vt:lpwstr>ext-tc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 Section 508 testing</dc:title>
  <dc:subject>SLA Section 508 testing</dc:subject>
  <dc:creator>Judy Swanson, Jerry GArcia</dc:creator>
  <cp:keywords/>
  <dc:description/>
  <cp:lastModifiedBy>Peter Mosinskis</cp:lastModifiedBy>
  <cp:revision>3</cp:revision>
  <cp:lastPrinted>2009-06-23T17:56:00Z</cp:lastPrinted>
  <dcterms:created xsi:type="dcterms:W3CDTF">2019-09-12T18:17:00Z</dcterms:created>
  <dcterms:modified xsi:type="dcterms:W3CDTF">2019-09-12T18:23:00Z</dcterms:modified>
</cp:coreProperties>
</file>