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Health Science Graduation &amp; Retention Assessment 2014-2018</w:t>
      </w:r>
    </w:p>
    <w:p w:rsidR="00000000" w:rsidDel="00000000" w:rsidP="00000000" w:rsidRDefault="00000000" w:rsidRPr="00000000" w14:paraId="00000002">
      <w:pPr>
        <w:jc w:val="center"/>
        <w:rPr>
          <w:b w:val="1"/>
        </w:rPr>
      </w:pPr>
      <w:r w:rsidDel="00000000" w:rsidR="00000000" w:rsidRPr="00000000">
        <w:rPr>
          <w:b w:val="1"/>
          <w:rtl w:val="0"/>
        </w:rPr>
        <w:t xml:space="preserve">Before &amp; After Implementation of Faculty Advising in the Major</w:t>
      </w:r>
    </w:p>
    <w:p w:rsidR="00000000" w:rsidDel="00000000" w:rsidP="00000000" w:rsidRDefault="00000000" w:rsidRPr="00000000" w14:paraId="00000003">
      <w:pPr>
        <w:jc w:val="center"/>
        <w:rPr/>
      </w:pPr>
      <w:r w:rsidDel="00000000" w:rsidR="00000000" w:rsidRPr="00000000">
        <w:rPr>
          <w:rtl w:val="0"/>
        </w:rPr>
        <w:t xml:space="preserve">Report prepared by: Kristen Linton</w:t>
      </w:r>
    </w:p>
    <w:p w:rsidR="00000000" w:rsidDel="00000000" w:rsidP="00000000" w:rsidRDefault="00000000" w:rsidRPr="00000000" w14:paraId="00000004">
      <w:pPr>
        <w:rPr/>
      </w:pPr>
      <w:r w:rsidDel="00000000" w:rsidR="00000000" w:rsidRPr="00000000">
        <w:rPr>
          <w:rtl w:val="0"/>
        </w:rPr>
        <w:t xml:space="preserve">Methods: Health Science began providing advising within the major in which each tenure-track faculty member is assigned as a faculty advisor to a select number of students in 2017. The number of students assigned to each faculty member has been around 100 each. Data was received from Program Review Dashboards at CSUCI. The data from 2014, 2015 and 2016 (prior to faculty advising) were compared to data from 2017 and 2018 (faculty advising implemented).</w:t>
      </w:r>
    </w:p>
    <w:p w:rsidR="00000000" w:rsidDel="00000000" w:rsidP="00000000" w:rsidRDefault="00000000" w:rsidRPr="00000000" w14:paraId="00000005">
      <w:pPr>
        <w:rPr/>
      </w:pPr>
      <w:bookmarkStart w:colFirst="0" w:colLast="0" w:name="_heading=h.gjdgxs" w:id="0"/>
      <w:bookmarkEnd w:id="0"/>
      <w:r w:rsidDel="00000000" w:rsidR="00000000" w:rsidRPr="00000000">
        <w:rPr>
          <w:rtl w:val="0"/>
        </w:rPr>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Did Faculty Advising in the Major of Health Science increase retention and graduation rates since implementation in Fall 2017?</w:t>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70"/>
        <w:gridCol w:w="1870"/>
        <w:gridCol w:w="1870"/>
        <w:gridCol w:w="1870"/>
        <w:gridCol w:w="1870"/>
        <w:tblGridChange w:id="0">
          <w:tblGrid>
            <w:gridCol w:w="1870"/>
            <w:gridCol w:w="1870"/>
            <w:gridCol w:w="1870"/>
            <w:gridCol w:w="1870"/>
            <w:gridCol w:w="1870"/>
          </w:tblGrid>
        </w:tblGridChange>
      </w:tblGrid>
      <w:tr>
        <w:tc>
          <w:tcPr/>
          <w:p w:rsidR="00000000" w:rsidDel="00000000" w:rsidP="00000000" w:rsidRDefault="00000000" w:rsidRPr="00000000" w14:paraId="00000007">
            <w:pPr>
              <w:rPr/>
            </w:pPr>
            <w:r w:rsidDel="00000000" w:rsidR="00000000" w:rsidRPr="00000000">
              <w:rPr>
                <w:rtl w:val="0"/>
              </w:rPr>
            </w:r>
          </w:p>
        </w:tc>
        <w:tc>
          <w:tcPr/>
          <w:p w:rsidR="00000000" w:rsidDel="00000000" w:rsidP="00000000" w:rsidRDefault="00000000" w:rsidRPr="00000000" w14:paraId="00000008">
            <w:pPr>
              <w:rPr/>
            </w:pPr>
            <w:r w:rsidDel="00000000" w:rsidR="00000000" w:rsidRPr="00000000">
              <w:rPr>
                <w:rtl w:val="0"/>
              </w:rPr>
              <w:t xml:space="preserve">N</w:t>
            </w:r>
          </w:p>
        </w:tc>
        <w:tc>
          <w:tcPr/>
          <w:p w:rsidR="00000000" w:rsidDel="00000000" w:rsidP="00000000" w:rsidRDefault="00000000" w:rsidRPr="00000000" w14:paraId="00000009">
            <w:pPr>
              <w:rPr/>
            </w:pPr>
            <w:r w:rsidDel="00000000" w:rsidR="00000000" w:rsidRPr="00000000">
              <w:rPr>
                <w:rtl w:val="0"/>
              </w:rPr>
              <w:t xml:space="preserve">%</w:t>
            </w:r>
          </w:p>
        </w:tc>
        <w:tc>
          <w:tcPr/>
          <w:p w:rsidR="00000000" w:rsidDel="00000000" w:rsidP="00000000" w:rsidRDefault="00000000" w:rsidRPr="00000000" w14:paraId="0000000A">
            <w:pPr>
              <w:rPr/>
            </w:pPr>
            <w:r w:rsidDel="00000000" w:rsidR="00000000" w:rsidRPr="00000000">
              <w:rPr>
                <w:rtl w:val="0"/>
              </w:rPr>
              <w:t xml:space="preserve">N</w:t>
            </w:r>
          </w:p>
        </w:tc>
        <w:tc>
          <w:tcPr/>
          <w:p w:rsidR="00000000" w:rsidDel="00000000" w:rsidP="00000000" w:rsidRDefault="00000000" w:rsidRPr="00000000" w14:paraId="0000000B">
            <w:pPr>
              <w:rPr/>
            </w:pPr>
            <w:r w:rsidDel="00000000" w:rsidR="00000000" w:rsidRPr="00000000">
              <w:rPr>
                <w:rtl w:val="0"/>
              </w:rPr>
              <w:t xml:space="preserve">%</w:t>
            </w:r>
          </w:p>
        </w:tc>
      </w:tr>
      <w:tr>
        <w:tc>
          <w:tcPr/>
          <w:p w:rsidR="00000000" w:rsidDel="00000000" w:rsidP="00000000" w:rsidRDefault="00000000" w:rsidRPr="00000000" w14:paraId="0000000C">
            <w:pPr>
              <w:rPr/>
            </w:pPr>
            <w:r w:rsidDel="00000000" w:rsidR="00000000" w:rsidRPr="00000000">
              <w:rPr>
                <w:rtl w:val="0"/>
              </w:rPr>
            </w:r>
          </w:p>
        </w:tc>
        <w:tc>
          <w:tcPr>
            <w:gridSpan w:val="2"/>
          </w:tcPr>
          <w:p w:rsidR="00000000" w:rsidDel="00000000" w:rsidP="00000000" w:rsidRDefault="00000000" w:rsidRPr="00000000" w14:paraId="0000000D">
            <w:pPr>
              <w:jc w:val="center"/>
              <w:rPr/>
            </w:pPr>
            <w:r w:rsidDel="00000000" w:rsidR="00000000" w:rsidRPr="00000000">
              <w:rPr>
                <w:rtl w:val="0"/>
              </w:rPr>
              <w:t xml:space="preserve">BEFORE (Years 2014, 2015, &amp; 2016)</w:t>
            </w:r>
          </w:p>
        </w:tc>
        <w:tc>
          <w:tcPr>
            <w:gridSpan w:val="2"/>
          </w:tcPr>
          <w:p w:rsidR="00000000" w:rsidDel="00000000" w:rsidP="00000000" w:rsidRDefault="00000000" w:rsidRPr="00000000" w14:paraId="0000000F">
            <w:pPr>
              <w:jc w:val="center"/>
              <w:rPr/>
            </w:pPr>
            <w:r w:rsidDel="00000000" w:rsidR="00000000" w:rsidRPr="00000000">
              <w:rPr>
                <w:rtl w:val="0"/>
              </w:rPr>
              <w:t xml:space="preserve">AFTER (Years 2017 &amp; 2018)</w:t>
            </w:r>
          </w:p>
        </w:tc>
      </w:tr>
      <w:tr>
        <w:tc>
          <w:tcPr/>
          <w:p w:rsidR="00000000" w:rsidDel="00000000" w:rsidP="00000000" w:rsidRDefault="00000000" w:rsidRPr="00000000" w14:paraId="00000011">
            <w:pPr>
              <w:rPr/>
            </w:pPr>
            <w:r w:rsidDel="00000000" w:rsidR="00000000" w:rsidRPr="00000000">
              <w:rPr>
                <w:rtl w:val="0"/>
              </w:rPr>
              <w:t xml:space="preserve">FTFT Retention to Year 2 (Started as Freshman and remained at CSUCI in 2</w:t>
            </w:r>
            <w:r w:rsidDel="00000000" w:rsidR="00000000" w:rsidRPr="00000000">
              <w:rPr>
                <w:vertAlign w:val="superscript"/>
                <w:rtl w:val="0"/>
              </w:rPr>
              <w:t xml:space="preserve">nd</w:t>
            </w:r>
            <w:r w:rsidDel="00000000" w:rsidR="00000000" w:rsidRPr="00000000">
              <w:rPr>
                <w:rtl w:val="0"/>
              </w:rPr>
              <w:t xml:space="preserve"> year)</w:t>
            </w:r>
          </w:p>
        </w:tc>
        <w:tc>
          <w:tcPr/>
          <w:p w:rsidR="00000000" w:rsidDel="00000000" w:rsidP="00000000" w:rsidRDefault="00000000" w:rsidRPr="00000000" w14:paraId="00000012">
            <w:pPr>
              <w:rPr/>
            </w:pPr>
            <w:r w:rsidDel="00000000" w:rsidR="00000000" w:rsidRPr="00000000">
              <w:rPr>
                <w:rtl w:val="0"/>
              </w:rPr>
              <w:t xml:space="preserve">67</w:t>
            </w:r>
          </w:p>
        </w:tc>
        <w:tc>
          <w:tcPr/>
          <w:p w:rsidR="00000000" w:rsidDel="00000000" w:rsidP="00000000" w:rsidRDefault="00000000" w:rsidRPr="00000000" w14:paraId="00000013">
            <w:pPr>
              <w:rPr/>
            </w:pPr>
            <w:r w:rsidDel="00000000" w:rsidR="00000000" w:rsidRPr="00000000">
              <w:rPr>
                <w:rtl w:val="0"/>
              </w:rPr>
              <w:t xml:space="preserve">79.8</w:t>
            </w:r>
          </w:p>
        </w:tc>
        <w:tc>
          <w:tcPr/>
          <w:p w:rsidR="00000000" w:rsidDel="00000000" w:rsidP="00000000" w:rsidRDefault="00000000" w:rsidRPr="00000000" w14:paraId="00000014">
            <w:pPr>
              <w:rPr/>
            </w:pPr>
            <w:r w:rsidDel="00000000" w:rsidR="00000000" w:rsidRPr="00000000">
              <w:rPr>
                <w:rtl w:val="0"/>
              </w:rPr>
              <w:t xml:space="preserve">67</w:t>
            </w:r>
          </w:p>
        </w:tc>
        <w:tc>
          <w:tcPr/>
          <w:p w:rsidR="00000000" w:rsidDel="00000000" w:rsidP="00000000" w:rsidRDefault="00000000" w:rsidRPr="00000000" w14:paraId="00000015">
            <w:pPr>
              <w:rPr/>
            </w:pPr>
            <w:r w:rsidDel="00000000" w:rsidR="00000000" w:rsidRPr="00000000">
              <w:rPr>
                <w:rtl w:val="0"/>
              </w:rPr>
              <w:t xml:space="preserve">84.9</w:t>
            </w:r>
          </w:p>
        </w:tc>
      </w:tr>
      <w:tr>
        <w:tc>
          <w:tcPr/>
          <w:p w:rsidR="00000000" w:rsidDel="00000000" w:rsidP="00000000" w:rsidRDefault="00000000" w:rsidRPr="00000000" w14:paraId="00000016">
            <w:pPr>
              <w:rPr/>
            </w:pPr>
            <w:r w:rsidDel="00000000" w:rsidR="00000000" w:rsidRPr="00000000">
              <w:rPr>
                <w:rtl w:val="0"/>
              </w:rPr>
              <w:t xml:space="preserve">Transfer Retention to Year 2</w:t>
            </w:r>
          </w:p>
        </w:tc>
        <w:tc>
          <w:tcPr/>
          <w:p w:rsidR="00000000" w:rsidDel="00000000" w:rsidP="00000000" w:rsidRDefault="00000000" w:rsidRPr="00000000" w14:paraId="00000017">
            <w:pPr>
              <w:rPr/>
            </w:pPr>
            <w:r w:rsidDel="00000000" w:rsidR="00000000" w:rsidRPr="00000000">
              <w:rPr>
                <w:rtl w:val="0"/>
              </w:rPr>
              <w:t xml:space="preserve">80</w:t>
            </w:r>
          </w:p>
        </w:tc>
        <w:tc>
          <w:tcPr/>
          <w:p w:rsidR="00000000" w:rsidDel="00000000" w:rsidP="00000000" w:rsidRDefault="00000000" w:rsidRPr="00000000" w14:paraId="00000018">
            <w:pPr>
              <w:rPr/>
            </w:pPr>
            <w:r w:rsidDel="00000000" w:rsidR="00000000" w:rsidRPr="00000000">
              <w:rPr>
                <w:rtl w:val="0"/>
              </w:rPr>
              <w:t xml:space="preserve">80</w:t>
            </w:r>
          </w:p>
        </w:tc>
        <w:tc>
          <w:tcPr/>
          <w:p w:rsidR="00000000" w:rsidDel="00000000" w:rsidP="00000000" w:rsidRDefault="00000000" w:rsidRPr="00000000" w14:paraId="00000019">
            <w:pPr>
              <w:rPr/>
            </w:pPr>
            <w:r w:rsidDel="00000000" w:rsidR="00000000" w:rsidRPr="00000000">
              <w:rPr>
                <w:rtl w:val="0"/>
              </w:rPr>
              <w:t xml:space="preserve">164</w:t>
            </w:r>
          </w:p>
        </w:tc>
        <w:tc>
          <w:tcPr/>
          <w:p w:rsidR="00000000" w:rsidDel="00000000" w:rsidP="00000000" w:rsidRDefault="00000000" w:rsidRPr="00000000" w14:paraId="0000001A">
            <w:pPr>
              <w:rPr/>
            </w:pPr>
            <w:r w:rsidDel="00000000" w:rsidR="00000000" w:rsidRPr="00000000">
              <w:rPr>
                <w:rtl w:val="0"/>
              </w:rPr>
              <w:t xml:space="preserve">87.8</w:t>
            </w:r>
          </w:p>
        </w:tc>
      </w:tr>
      <w:tr>
        <w:tc>
          <w:tcPr/>
          <w:p w:rsidR="00000000" w:rsidDel="00000000" w:rsidP="00000000" w:rsidRDefault="00000000" w:rsidRPr="00000000" w14:paraId="0000001B">
            <w:pPr>
              <w:rPr/>
            </w:pPr>
            <w:r w:rsidDel="00000000" w:rsidR="00000000" w:rsidRPr="00000000">
              <w:rPr>
                <w:rtl w:val="0"/>
              </w:rPr>
              <w:t xml:space="preserve">Transfer Graduation in 2 Years</w:t>
            </w:r>
          </w:p>
        </w:tc>
        <w:tc>
          <w:tcPr/>
          <w:p w:rsidR="00000000" w:rsidDel="00000000" w:rsidP="00000000" w:rsidRDefault="00000000" w:rsidRPr="00000000" w14:paraId="0000001C">
            <w:pPr>
              <w:rPr/>
            </w:pPr>
            <w:r w:rsidDel="00000000" w:rsidR="00000000" w:rsidRPr="00000000">
              <w:rPr>
                <w:rtl w:val="0"/>
              </w:rPr>
              <w:t xml:space="preserve">47</w:t>
            </w:r>
          </w:p>
        </w:tc>
        <w:tc>
          <w:tcPr/>
          <w:p w:rsidR="00000000" w:rsidDel="00000000" w:rsidP="00000000" w:rsidRDefault="00000000" w:rsidRPr="00000000" w14:paraId="0000001D">
            <w:pPr>
              <w:rPr/>
            </w:pPr>
            <w:r w:rsidDel="00000000" w:rsidR="00000000" w:rsidRPr="00000000">
              <w:rPr>
                <w:rtl w:val="0"/>
              </w:rPr>
              <w:t xml:space="preserve">41</w:t>
            </w:r>
          </w:p>
        </w:tc>
        <w:tc>
          <w:tcPr/>
          <w:p w:rsidR="00000000" w:rsidDel="00000000" w:rsidP="00000000" w:rsidRDefault="00000000" w:rsidRPr="00000000" w14:paraId="0000001E">
            <w:pPr>
              <w:rPr/>
            </w:pPr>
            <w:r w:rsidDel="00000000" w:rsidR="00000000" w:rsidRPr="00000000">
              <w:rPr>
                <w:rtl w:val="0"/>
              </w:rPr>
              <w:t xml:space="preserve">42</w:t>
            </w:r>
          </w:p>
        </w:tc>
        <w:tc>
          <w:tcPr/>
          <w:p w:rsidR="00000000" w:rsidDel="00000000" w:rsidP="00000000" w:rsidRDefault="00000000" w:rsidRPr="00000000" w14:paraId="0000001F">
            <w:pPr>
              <w:rPr/>
            </w:pPr>
            <w:r w:rsidDel="00000000" w:rsidR="00000000" w:rsidRPr="00000000">
              <w:rPr>
                <w:rtl w:val="0"/>
              </w:rPr>
              <w:t xml:space="preserve">55.3</w:t>
            </w:r>
          </w:p>
        </w:tc>
      </w:tr>
      <w:tr>
        <w:tc>
          <w:tcPr/>
          <w:p w:rsidR="00000000" w:rsidDel="00000000" w:rsidP="00000000" w:rsidRDefault="00000000" w:rsidRPr="00000000" w14:paraId="00000020">
            <w:pPr>
              <w:rPr/>
            </w:pPr>
            <w:r w:rsidDel="00000000" w:rsidR="00000000" w:rsidRPr="00000000">
              <w:rPr>
                <w:rtl w:val="0"/>
              </w:rPr>
              <w:t xml:space="preserve">Transfer Graduation in 2.5 Years</w:t>
            </w:r>
          </w:p>
        </w:tc>
        <w:tc>
          <w:tcPr/>
          <w:p w:rsidR="00000000" w:rsidDel="00000000" w:rsidP="00000000" w:rsidRDefault="00000000" w:rsidRPr="00000000" w14:paraId="00000021">
            <w:pPr>
              <w:rPr/>
            </w:pPr>
            <w:r w:rsidDel="00000000" w:rsidR="00000000" w:rsidRPr="00000000">
              <w:rPr>
                <w:rtl w:val="0"/>
              </w:rPr>
              <w:t xml:space="preserve">57</w:t>
            </w:r>
          </w:p>
        </w:tc>
        <w:tc>
          <w:tcPr/>
          <w:p w:rsidR="00000000" w:rsidDel="00000000" w:rsidP="00000000" w:rsidRDefault="00000000" w:rsidRPr="00000000" w14:paraId="00000022">
            <w:pPr>
              <w:rPr/>
            </w:pPr>
            <w:r w:rsidDel="00000000" w:rsidR="00000000" w:rsidRPr="00000000">
              <w:rPr>
                <w:rtl w:val="0"/>
              </w:rPr>
              <w:t xml:space="preserve">49.4</w:t>
            </w:r>
          </w:p>
        </w:tc>
        <w:tc>
          <w:tcPr/>
          <w:p w:rsidR="00000000" w:rsidDel="00000000" w:rsidP="00000000" w:rsidRDefault="00000000" w:rsidRPr="00000000" w14:paraId="00000023">
            <w:pPr>
              <w:rPr/>
            </w:pPr>
            <w:r w:rsidDel="00000000" w:rsidR="00000000" w:rsidRPr="00000000">
              <w:rPr>
                <w:rtl w:val="0"/>
              </w:rPr>
              <w:t xml:space="preserve">42</w:t>
            </w:r>
          </w:p>
        </w:tc>
        <w:tc>
          <w:tcPr/>
          <w:p w:rsidR="00000000" w:rsidDel="00000000" w:rsidP="00000000" w:rsidRDefault="00000000" w:rsidRPr="00000000" w14:paraId="00000024">
            <w:pPr>
              <w:rPr/>
            </w:pPr>
            <w:r w:rsidDel="00000000" w:rsidR="00000000" w:rsidRPr="00000000">
              <w:rPr>
                <w:rtl w:val="0"/>
              </w:rPr>
              <w:t xml:space="preserve">55.3</w:t>
            </w:r>
          </w:p>
        </w:tc>
      </w:tr>
    </w:tbl>
    <w:p w:rsidR="00000000" w:rsidDel="00000000" w:rsidP="00000000" w:rsidRDefault="00000000" w:rsidRPr="00000000" w14:paraId="00000025">
      <w:pPr>
        <w:rPr/>
      </w:pPr>
      <w:r w:rsidDel="00000000" w:rsidR="00000000" w:rsidRPr="00000000">
        <w:rPr>
          <w:rtl w:val="0"/>
        </w:rPr>
        <w:t xml:space="preserve">* FTFT Graduation Data not year available for 2016, 2017, &amp; 2018</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Did Faculty Advising in the Major of Health Science increase retention and graduation rates for Historically Underrepresented Groups (HUGS) at similar rates to Non-HUGS since implementation in Fall 2017?</w:t>
      </w:r>
    </w:p>
    <w:p w:rsidR="00000000" w:rsidDel="00000000" w:rsidP="00000000" w:rsidRDefault="00000000" w:rsidRPr="00000000" w14:paraId="00000028">
      <w:pPr>
        <w:rPr/>
      </w:pPr>
      <w:r w:rsidDel="00000000" w:rsidR="00000000" w:rsidRPr="00000000">
        <w:rPr>
          <w:rtl w:val="0"/>
        </w:rPr>
      </w:r>
    </w:p>
    <w:tbl>
      <w:tblPr>
        <w:tblStyle w:val="Table2"/>
        <w:tblW w:w="12950.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71"/>
        <w:gridCol w:w="1426"/>
        <w:gridCol w:w="1478"/>
        <w:gridCol w:w="1461"/>
        <w:gridCol w:w="1478"/>
        <w:gridCol w:w="1359"/>
        <w:gridCol w:w="1359"/>
        <w:gridCol w:w="1359"/>
        <w:gridCol w:w="1359"/>
        <w:tblGridChange w:id="0">
          <w:tblGrid>
            <w:gridCol w:w="1671"/>
            <w:gridCol w:w="1426"/>
            <w:gridCol w:w="1478"/>
            <w:gridCol w:w="1461"/>
            <w:gridCol w:w="1478"/>
            <w:gridCol w:w="1359"/>
            <w:gridCol w:w="1359"/>
            <w:gridCol w:w="1359"/>
            <w:gridCol w:w="1359"/>
          </w:tblGrid>
        </w:tblGridChange>
      </w:tblGrid>
      <w:tr>
        <w:tc>
          <w:tcPr/>
          <w:p w:rsidR="00000000" w:rsidDel="00000000" w:rsidP="00000000" w:rsidRDefault="00000000" w:rsidRPr="00000000" w14:paraId="00000029">
            <w:pPr>
              <w:rPr/>
            </w:pPr>
            <w:r w:rsidDel="00000000" w:rsidR="00000000" w:rsidRPr="00000000">
              <w:rPr>
                <w:rtl w:val="0"/>
              </w:rPr>
            </w:r>
          </w:p>
        </w:tc>
        <w:tc>
          <w:tcPr/>
          <w:p w:rsidR="00000000" w:rsidDel="00000000" w:rsidP="00000000" w:rsidRDefault="00000000" w:rsidRPr="00000000" w14:paraId="0000002A">
            <w:pPr>
              <w:rPr/>
            </w:pPr>
            <w:r w:rsidDel="00000000" w:rsidR="00000000" w:rsidRPr="00000000">
              <w:rPr>
                <w:rtl w:val="0"/>
              </w:rPr>
              <w:t xml:space="preserve">N</w:t>
            </w:r>
          </w:p>
        </w:tc>
        <w:tc>
          <w:tcPr/>
          <w:p w:rsidR="00000000" w:rsidDel="00000000" w:rsidP="00000000" w:rsidRDefault="00000000" w:rsidRPr="00000000" w14:paraId="0000002B">
            <w:pPr>
              <w:rPr/>
            </w:pPr>
            <w:r w:rsidDel="00000000" w:rsidR="00000000" w:rsidRPr="00000000">
              <w:rPr>
                <w:rtl w:val="0"/>
              </w:rPr>
              <w:t xml:space="preserve">%</w:t>
            </w:r>
          </w:p>
        </w:tc>
        <w:tc>
          <w:tcPr/>
          <w:p w:rsidR="00000000" w:rsidDel="00000000" w:rsidP="00000000" w:rsidRDefault="00000000" w:rsidRPr="00000000" w14:paraId="0000002C">
            <w:pPr>
              <w:rPr/>
            </w:pPr>
            <w:r w:rsidDel="00000000" w:rsidR="00000000" w:rsidRPr="00000000">
              <w:rPr>
                <w:rtl w:val="0"/>
              </w:rPr>
              <w:t xml:space="preserve">N</w:t>
            </w:r>
          </w:p>
        </w:tc>
        <w:tc>
          <w:tcPr/>
          <w:p w:rsidR="00000000" w:rsidDel="00000000" w:rsidP="00000000" w:rsidRDefault="00000000" w:rsidRPr="00000000" w14:paraId="0000002D">
            <w:pPr>
              <w:rPr/>
            </w:pPr>
            <w:r w:rsidDel="00000000" w:rsidR="00000000" w:rsidRPr="00000000">
              <w:rPr>
                <w:rtl w:val="0"/>
              </w:rPr>
              <w:t xml:space="preserve">%</w:t>
            </w:r>
          </w:p>
        </w:tc>
        <w:tc>
          <w:tcPr/>
          <w:p w:rsidR="00000000" w:rsidDel="00000000" w:rsidP="00000000" w:rsidRDefault="00000000" w:rsidRPr="00000000" w14:paraId="0000002E">
            <w:pPr>
              <w:rPr/>
            </w:pPr>
            <w:r w:rsidDel="00000000" w:rsidR="00000000" w:rsidRPr="00000000">
              <w:rPr>
                <w:rtl w:val="0"/>
              </w:rPr>
              <w:t xml:space="preserve">N</w:t>
            </w:r>
          </w:p>
        </w:tc>
        <w:tc>
          <w:tcPr/>
          <w:p w:rsidR="00000000" w:rsidDel="00000000" w:rsidP="00000000" w:rsidRDefault="00000000" w:rsidRPr="00000000" w14:paraId="0000002F">
            <w:pPr>
              <w:rPr/>
            </w:pPr>
            <w:r w:rsidDel="00000000" w:rsidR="00000000" w:rsidRPr="00000000">
              <w:rPr>
                <w:rtl w:val="0"/>
              </w:rPr>
              <w:t xml:space="preserve">%</w:t>
            </w:r>
          </w:p>
        </w:tc>
        <w:tc>
          <w:tcPr/>
          <w:p w:rsidR="00000000" w:rsidDel="00000000" w:rsidP="00000000" w:rsidRDefault="00000000" w:rsidRPr="00000000" w14:paraId="00000030">
            <w:pPr>
              <w:rPr/>
            </w:pPr>
            <w:r w:rsidDel="00000000" w:rsidR="00000000" w:rsidRPr="00000000">
              <w:rPr>
                <w:rtl w:val="0"/>
              </w:rPr>
              <w:t xml:space="preserve">N</w:t>
            </w:r>
          </w:p>
        </w:tc>
        <w:tc>
          <w:tcPr/>
          <w:p w:rsidR="00000000" w:rsidDel="00000000" w:rsidP="00000000" w:rsidRDefault="00000000" w:rsidRPr="00000000" w14:paraId="00000031">
            <w:pPr>
              <w:rPr/>
            </w:pPr>
            <w:r w:rsidDel="00000000" w:rsidR="00000000" w:rsidRPr="00000000">
              <w:rPr>
                <w:rtl w:val="0"/>
              </w:rPr>
              <w:t xml:space="preserve">%</w:t>
            </w:r>
          </w:p>
        </w:tc>
      </w:tr>
      <w:tr>
        <w:tc>
          <w:tcPr/>
          <w:p w:rsidR="00000000" w:rsidDel="00000000" w:rsidP="00000000" w:rsidRDefault="00000000" w:rsidRPr="00000000" w14:paraId="00000032">
            <w:pPr>
              <w:rPr/>
            </w:pPr>
            <w:r w:rsidDel="00000000" w:rsidR="00000000" w:rsidRPr="00000000">
              <w:rPr>
                <w:rtl w:val="0"/>
              </w:rPr>
            </w:r>
          </w:p>
        </w:tc>
        <w:tc>
          <w:tcPr>
            <w:gridSpan w:val="4"/>
          </w:tcPr>
          <w:p w:rsidR="00000000" w:rsidDel="00000000" w:rsidP="00000000" w:rsidRDefault="00000000" w:rsidRPr="00000000" w14:paraId="00000033">
            <w:pPr>
              <w:jc w:val="center"/>
              <w:rPr/>
            </w:pPr>
            <w:r w:rsidDel="00000000" w:rsidR="00000000" w:rsidRPr="00000000">
              <w:rPr>
                <w:rtl w:val="0"/>
              </w:rPr>
              <w:t xml:space="preserve">BEFORE (Years 2014, 2015, &amp; 2016)</w:t>
            </w:r>
          </w:p>
        </w:tc>
        <w:tc>
          <w:tcPr>
            <w:gridSpan w:val="4"/>
          </w:tcPr>
          <w:p w:rsidR="00000000" w:rsidDel="00000000" w:rsidP="00000000" w:rsidRDefault="00000000" w:rsidRPr="00000000" w14:paraId="00000037">
            <w:pPr>
              <w:jc w:val="center"/>
              <w:rPr/>
            </w:pPr>
            <w:r w:rsidDel="00000000" w:rsidR="00000000" w:rsidRPr="00000000">
              <w:rPr>
                <w:rtl w:val="0"/>
              </w:rPr>
              <w:t xml:space="preserve">AFTER(Years 2017 &amp; 2018)</w:t>
            </w:r>
          </w:p>
        </w:tc>
      </w:tr>
      <w:tr>
        <w:tc>
          <w:tcPr/>
          <w:p w:rsidR="00000000" w:rsidDel="00000000" w:rsidP="00000000" w:rsidRDefault="00000000" w:rsidRPr="00000000" w14:paraId="0000003B">
            <w:pPr>
              <w:rPr/>
            </w:pPr>
            <w:r w:rsidDel="00000000" w:rsidR="00000000" w:rsidRPr="00000000">
              <w:rPr>
                <w:rtl w:val="0"/>
              </w:rPr>
            </w:r>
          </w:p>
        </w:tc>
        <w:tc>
          <w:tcPr>
            <w:gridSpan w:val="2"/>
          </w:tcPr>
          <w:p w:rsidR="00000000" w:rsidDel="00000000" w:rsidP="00000000" w:rsidRDefault="00000000" w:rsidRPr="00000000" w14:paraId="0000003C">
            <w:pPr>
              <w:jc w:val="center"/>
              <w:rPr/>
            </w:pPr>
            <w:r w:rsidDel="00000000" w:rsidR="00000000" w:rsidRPr="00000000">
              <w:rPr>
                <w:rtl w:val="0"/>
              </w:rPr>
              <w:t xml:space="preserve">HUGS</w:t>
            </w:r>
          </w:p>
        </w:tc>
        <w:tc>
          <w:tcPr>
            <w:gridSpan w:val="2"/>
          </w:tcPr>
          <w:p w:rsidR="00000000" w:rsidDel="00000000" w:rsidP="00000000" w:rsidRDefault="00000000" w:rsidRPr="00000000" w14:paraId="0000003E">
            <w:pPr>
              <w:jc w:val="center"/>
              <w:rPr/>
            </w:pPr>
            <w:r w:rsidDel="00000000" w:rsidR="00000000" w:rsidRPr="00000000">
              <w:rPr>
                <w:rtl w:val="0"/>
              </w:rPr>
              <w:t xml:space="preserve">Non-HUGS</w:t>
            </w:r>
          </w:p>
        </w:tc>
        <w:tc>
          <w:tcPr>
            <w:gridSpan w:val="2"/>
          </w:tcPr>
          <w:p w:rsidR="00000000" w:rsidDel="00000000" w:rsidP="00000000" w:rsidRDefault="00000000" w:rsidRPr="00000000" w14:paraId="00000040">
            <w:pPr>
              <w:jc w:val="center"/>
              <w:rPr/>
            </w:pPr>
            <w:r w:rsidDel="00000000" w:rsidR="00000000" w:rsidRPr="00000000">
              <w:rPr>
                <w:rtl w:val="0"/>
              </w:rPr>
              <w:t xml:space="preserve">HUGS</w:t>
            </w:r>
          </w:p>
        </w:tc>
        <w:tc>
          <w:tcPr>
            <w:gridSpan w:val="2"/>
          </w:tcPr>
          <w:p w:rsidR="00000000" w:rsidDel="00000000" w:rsidP="00000000" w:rsidRDefault="00000000" w:rsidRPr="00000000" w14:paraId="00000042">
            <w:pPr>
              <w:jc w:val="center"/>
              <w:rPr/>
            </w:pPr>
            <w:r w:rsidDel="00000000" w:rsidR="00000000" w:rsidRPr="00000000">
              <w:rPr>
                <w:rtl w:val="0"/>
              </w:rPr>
              <w:t xml:space="preserve">Non-HUGS</w:t>
            </w:r>
          </w:p>
        </w:tc>
      </w:tr>
      <w:tr>
        <w:tc>
          <w:tcPr/>
          <w:p w:rsidR="00000000" w:rsidDel="00000000" w:rsidP="00000000" w:rsidRDefault="00000000" w:rsidRPr="00000000" w14:paraId="00000044">
            <w:pPr>
              <w:rPr/>
            </w:pPr>
            <w:r w:rsidDel="00000000" w:rsidR="00000000" w:rsidRPr="00000000">
              <w:rPr>
                <w:rtl w:val="0"/>
              </w:rPr>
              <w:t xml:space="preserve">FTFT Retention to Year 2 (Started as Freshman and remained at CSUCI in 2</w:t>
            </w:r>
            <w:r w:rsidDel="00000000" w:rsidR="00000000" w:rsidRPr="00000000">
              <w:rPr>
                <w:vertAlign w:val="superscript"/>
                <w:rtl w:val="0"/>
              </w:rPr>
              <w:t xml:space="preserve">nd</w:t>
            </w:r>
            <w:r w:rsidDel="00000000" w:rsidR="00000000" w:rsidRPr="00000000">
              <w:rPr>
                <w:rtl w:val="0"/>
              </w:rPr>
              <w:t xml:space="preserve"> year)</w:t>
            </w:r>
          </w:p>
        </w:tc>
        <w:tc>
          <w:tcPr/>
          <w:p w:rsidR="00000000" w:rsidDel="00000000" w:rsidP="00000000" w:rsidRDefault="00000000" w:rsidRPr="00000000" w14:paraId="00000045">
            <w:pPr>
              <w:rPr/>
            </w:pPr>
            <w:r w:rsidDel="00000000" w:rsidR="00000000" w:rsidRPr="00000000">
              <w:rPr>
                <w:rtl w:val="0"/>
              </w:rPr>
              <w:t xml:space="preserve">36</w:t>
            </w:r>
          </w:p>
        </w:tc>
        <w:tc>
          <w:tcPr/>
          <w:p w:rsidR="00000000" w:rsidDel="00000000" w:rsidP="00000000" w:rsidRDefault="00000000" w:rsidRPr="00000000" w14:paraId="00000046">
            <w:pPr>
              <w:rPr/>
            </w:pPr>
            <w:r w:rsidDel="00000000" w:rsidR="00000000" w:rsidRPr="00000000">
              <w:rPr>
                <w:rtl w:val="0"/>
              </w:rPr>
              <w:t xml:space="preserve">83.5</w:t>
            </w:r>
          </w:p>
        </w:tc>
        <w:tc>
          <w:tcPr/>
          <w:p w:rsidR="00000000" w:rsidDel="00000000" w:rsidP="00000000" w:rsidRDefault="00000000" w:rsidRPr="00000000" w14:paraId="00000047">
            <w:pPr>
              <w:rPr/>
            </w:pPr>
            <w:r w:rsidDel="00000000" w:rsidR="00000000" w:rsidRPr="00000000">
              <w:rPr>
                <w:rtl w:val="0"/>
              </w:rPr>
              <w:t xml:space="preserve">24</w:t>
            </w:r>
          </w:p>
        </w:tc>
        <w:tc>
          <w:tcPr/>
          <w:p w:rsidR="00000000" w:rsidDel="00000000" w:rsidP="00000000" w:rsidRDefault="00000000" w:rsidRPr="00000000" w14:paraId="00000048">
            <w:pPr>
              <w:rPr/>
            </w:pPr>
            <w:r w:rsidDel="00000000" w:rsidR="00000000" w:rsidRPr="00000000">
              <w:rPr>
                <w:rtl w:val="0"/>
              </w:rPr>
              <w:t xml:space="preserve">74.3</w:t>
            </w:r>
          </w:p>
        </w:tc>
        <w:tc>
          <w:tcPr/>
          <w:p w:rsidR="00000000" w:rsidDel="00000000" w:rsidP="00000000" w:rsidRDefault="00000000" w:rsidRPr="00000000" w14:paraId="00000049">
            <w:pPr>
              <w:rPr/>
            </w:pPr>
            <w:r w:rsidDel="00000000" w:rsidR="00000000" w:rsidRPr="00000000">
              <w:rPr>
                <w:rtl w:val="0"/>
              </w:rPr>
              <w:t xml:space="preserve">48</w:t>
            </w:r>
          </w:p>
        </w:tc>
        <w:tc>
          <w:tcPr/>
          <w:p w:rsidR="00000000" w:rsidDel="00000000" w:rsidP="00000000" w:rsidRDefault="00000000" w:rsidRPr="00000000" w14:paraId="0000004A">
            <w:pPr>
              <w:rPr/>
            </w:pPr>
            <w:r w:rsidDel="00000000" w:rsidR="00000000" w:rsidRPr="00000000">
              <w:rPr>
                <w:rtl w:val="0"/>
              </w:rPr>
              <w:t xml:space="preserve">84.7</w:t>
            </w:r>
          </w:p>
        </w:tc>
        <w:tc>
          <w:tcPr/>
          <w:p w:rsidR="00000000" w:rsidDel="00000000" w:rsidP="00000000" w:rsidRDefault="00000000" w:rsidRPr="00000000" w14:paraId="0000004B">
            <w:pPr>
              <w:rPr/>
            </w:pPr>
            <w:r w:rsidDel="00000000" w:rsidR="00000000" w:rsidRPr="00000000">
              <w:rPr>
                <w:rtl w:val="0"/>
              </w:rPr>
              <w:t xml:space="preserve">19</w:t>
            </w:r>
          </w:p>
        </w:tc>
        <w:tc>
          <w:tcPr/>
          <w:p w:rsidR="00000000" w:rsidDel="00000000" w:rsidP="00000000" w:rsidRDefault="00000000" w:rsidRPr="00000000" w14:paraId="0000004C">
            <w:pPr>
              <w:rPr/>
            </w:pPr>
            <w:r w:rsidDel="00000000" w:rsidR="00000000" w:rsidRPr="00000000">
              <w:rPr>
                <w:rtl w:val="0"/>
              </w:rPr>
              <w:t xml:space="preserve">86.75</w:t>
            </w:r>
          </w:p>
        </w:tc>
      </w:tr>
      <w:tr>
        <w:tc>
          <w:tcPr/>
          <w:p w:rsidR="00000000" w:rsidDel="00000000" w:rsidP="00000000" w:rsidRDefault="00000000" w:rsidRPr="00000000" w14:paraId="0000004D">
            <w:pPr>
              <w:rPr/>
            </w:pPr>
            <w:r w:rsidDel="00000000" w:rsidR="00000000" w:rsidRPr="00000000">
              <w:rPr>
                <w:rtl w:val="0"/>
              </w:rPr>
              <w:t xml:space="preserve">Transfer Retention to Year 2</w:t>
            </w:r>
          </w:p>
        </w:tc>
        <w:tc>
          <w:tcPr/>
          <w:p w:rsidR="00000000" w:rsidDel="00000000" w:rsidP="00000000" w:rsidRDefault="00000000" w:rsidRPr="00000000" w14:paraId="0000004E">
            <w:pPr>
              <w:rPr/>
            </w:pPr>
            <w:r w:rsidDel="00000000" w:rsidR="00000000" w:rsidRPr="00000000">
              <w:rPr>
                <w:rtl w:val="0"/>
              </w:rPr>
              <w:t xml:space="preserve">35</w:t>
            </w:r>
          </w:p>
        </w:tc>
        <w:tc>
          <w:tcPr/>
          <w:p w:rsidR="00000000" w:rsidDel="00000000" w:rsidP="00000000" w:rsidRDefault="00000000" w:rsidRPr="00000000" w14:paraId="0000004F">
            <w:pPr>
              <w:rPr/>
            </w:pPr>
            <w:r w:rsidDel="00000000" w:rsidR="00000000" w:rsidRPr="00000000">
              <w:rPr>
                <w:rtl w:val="0"/>
              </w:rPr>
              <w:t xml:space="preserve">75.03</w:t>
            </w:r>
          </w:p>
        </w:tc>
        <w:tc>
          <w:tcPr/>
          <w:p w:rsidR="00000000" w:rsidDel="00000000" w:rsidP="00000000" w:rsidRDefault="00000000" w:rsidRPr="00000000" w14:paraId="00000050">
            <w:pPr>
              <w:rPr/>
            </w:pPr>
            <w:r w:rsidDel="00000000" w:rsidR="00000000" w:rsidRPr="00000000">
              <w:rPr>
                <w:rtl w:val="0"/>
              </w:rPr>
              <w:t xml:space="preserve">45</w:t>
            </w:r>
          </w:p>
        </w:tc>
        <w:tc>
          <w:tcPr/>
          <w:p w:rsidR="00000000" w:rsidDel="00000000" w:rsidP="00000000" w:rsidRDefault="00000000" w:rsidRPr="00000000" w14:paraId="00000051">
            <w:pPr>
              <w:rPr/>
            </w:pPr>
            <w:r w:rsidDel="00000000" w:rsidR="00000000" w:rsidRPr="00000000">
              <w:rPr>
                <w:rtl w:val="0"/>
              </w:rPr>
              <w:t xml:space="preserve">86.1</w:t>
            </w:r>
          </w:p>
        </w:tc>
        <w:tc>
          <w:tcPr/>
          <w:p w:rsidR="00000000" w:rsidDel="00000000" w:rsidP="00000000" w:rsidRDefault="00000000" w:rsidRPr="00000000" w14:paraId="00000052">
            <w:pPr>
              <w:rPr/>
            </w:pPr>
            <w:r w:rsidDel="00000000" w:rsidR="00000000" w:rsidRPr="00000000">
              <w:rPr>
                <w:rtl w:val="0"/>
              </w:rPr>
              <w:t xml:space="preserve">77</w:t>
            </w:r>
          </w:p>
        </w:tc>
        <w:tc>
          <w:tcPr/>
          <w:p w:rsidR="00000000" w:rsidDel="00000000" w:rsidP="00000000" w:rsidRDefault="00000000" w:rsidRPr="00000000" w14:paraId="00000053">
            <w:pPr>
              <w:rPr/>
            </w:pPr>
            <w:r w:rsidDel="00000000" w:rsidR="00000000" w:rsidRPr="00000000">
              <w:rPr>
                <w:rtl w:val="0"/>
              </w:rPr>
              <w:t xml:space="preserve">88.75</w:t>
            </w:r>
          </w:p>
        </w:tc>
        <w:tc>
          <w:tcPr/>
          <w:p w:rsidR="00000000" w:rsidDel="00000000" w:rsidP="00000000" w:rsidRDefault="00000000" w:rsidRPr="00000000" w14:paraId="00000054">
            <w:pPr>
              <w:rPr/>
            </w:pPr>
            <w:r w:rsidDel="00000000" w:rsidR="00000000" w:rsidRPr="00000000">
              <w:rPr>
                <w:rtl w:val="0"/>
              </w:rPr>
              <w:t xml:space="preserve">87</w:t>
            </w:r>
          </w:p>
        </w:tc>
        <w:tc>
          <w:tcPr/>
          <w:p w:rsidR="00000000" w:rsidDel="00000000" w:rsidP="00000000" w:rsidRDefault="00000000" w:rsidRPr="00000000" w14:paraId="00000055">
            <w:pPr>
              <w:rPr/>
            </w:pPr>
            <w:r w:rsidDel="00000000" w:rsidR="00000000" w:rsidRPr="00000000">
              <w:rPr>
                <w:rtl w:val="0"/>
              </w:rPr>
              <w:t xml:space="preserve">87.2</w:t>
            </w:r>
          </w:p>
        </w:tc>
      </w:tr>
      <w:tr>
        <w:tc>
          <w:tcPr/>
          <w:p w:rsidR="00000000" w:rsidDel="00000000" w:rsidP="00000000" w:rsidRDefault="00000000" w:rsidRPr="00000000" w14:paraId="00000056">
            <w:pPr>
              <w:rPr/>
            </w:pPr>
            <w:r w:rsidDel="00000000" w:rsidR="00000000" w:rsidRPr="00000000">
              <w:rPr>
                <w:rtl w:val="0"/>
              </w:rPr>
              <w:t xml:space="preserve">Transfer Graduation in 2 Years</w:t>
            </w:r>
          </w:p>
        </w:tc>
        <w:tc>
          <w:tcPr/>
          <w:p w:rsidR="00000000" w:rsidDel="00000000" w:rsidP="00000000" w:rsidRDefault="00000000" w:rsidRPr="00000000" w14:paraId="00000057">
            <w:pPr>
              <w:rPr/>
            </w:pPr>
            <w:r w:rsidDel="00000000" w:rsidR="00000000" w:rsidRPr="00000000">
              <w:rPr>
                <w:rtl w:val="0"/>
              </w:rPr>
              <w:t xml:space="preserve">18</w:t>
            </w:r>
          </w:p>
        </w:tc>
        <w:tc>
          <w:tcPr/>
          <w:p w:rsidR="00000000" w:rsidDel="00000000" w:rsidP="00000000" w:rsidRDefault="00000000" w:rsidRPr="00000000" w14:paraId="00000058">
            <w:pPr>
              <w:rPr/>
            </w:pPr>
            <w:r w:rsidDel="00000000" w:rsidR="00000000" w:rsidRPr="00000000">
              <w:rPr>
                <w:rtl w:val="0"/>
              </w:rPr>
              <w:t xml:space="preserve">34.6</w:t>
            </w:r>
          </w:p>
        </w:tc>
        <w:tc>
          <w:tcPr/>
          <w:p w:rsidR="00000000" w:rsidDel="00000000" w:rsidP="00000000" w:rsidRDefault="00000000" w:rsidRPr="00000000" w14:paraId="00000059">
            <w:pPr>
              <w:rPr/>
            </w:pPr>
            <w:r w:rsidDel="00000000" w:rsidR="00000000" w:rsidRPr="00000000">
              <w:rPr>
                <w:rtl w:val="0"/>
              </w:rPr>
              <w:t xml:space="preserve">35</w:t>
            </w:r>
          </w:p>
        </w:tc>
        <w:tc>
          <w:tcPr/>
          <w:p w:rsidR="00000000" w:rsidDel="00000000" w:rsidP="00000000" w:rsidRDefault="00000000" w:rsidRPr="00000000" w14:paraId="0000005A">
            <w:pPr>
              <w:rPr/>
            </w:pPr>
            <w:r w:rsidDel="00000000" w:rsidR="00000000" w:rsidRPr="00000000">
              <w:rPr>
                <w:rtl w:val="0"/>
              </w:rPr>
              <w:t xml:space="preserve">47.5</w:t>
            </w:r>
          </w:p>
        </w:tc>
        <w:tc>
          <w:tcPr/>
          <w:p w:rsidR="00000000" w:rsidDel="00000000" w:rsidP="00000000" w:rsidRDefault="00000000" w:rsidRPr="00000000" w14:paraId="0000005B">
            <w:pPr>
              <w:rPr/>
            </w:pPr>
            <w:r w:rsidDel="00000000" w:rsidR="00000000" w:rsidRPr="00000000">
              <w:rPr>
                <w:rtl w:val="0"/>
              </w:rPr>
              <w:t xml:space="preserve">20</w:t>
            </w:r>
          </w:p>
        </w:tc>
        <w:tc>
          <w:tcPr/>
          <w:p w:rsidR="00000000" w:rsidDel="00000000" w:rsidP="00000000" w:rsidRDefault="00000000" w:rsidRPr="00000000" w14:paraId="0000005C">
            <w:pPr>
              <w:rPr/>
            </w:pPr>
            <w:r w:rsidDel="00000000" w:rsidR="00000000" w:rsidRPr="00000000">
              <w:rPr>
                <w:rtl w:val="0"/>
              </w:rPr>
              <w:t xml:space="preserve">60.6</w:t>
            </w:r>
          </w:p>
        </w:tc>
        <w:tc>
          <w:tcPr/>
          <w:p w:rsidR="00000000" w:rsidDel="00000000" w:rsidP="00000000" w:rsidRDefault="00000000" w:rsidRPr="00000000" w14:paraId="0000005D">
            <w:pPr>
              <w:rPr/>
            </w:pPr>
            <w:r w:rsidDel="00000000" w:rsidR="00000000" w:rsidRPr="00000000">
              <w:rPr>
                <w:rtl w:val="0"/>
              </w:rPr>
              <w:t xml:space="preserve">22</w:t>
            </w:r>
          </w:p>
        </w:tc>
        <w:tc>
          <w:tcPr/>
          <w:p w:rsidR="00000000" w:rsidDel="00000000" w:rsidP="00000000" w:rsidRDefault="00000000" w:rsidRPr="00000000" w14:paraId="0000005E">
            <w:pPr>
              <w:rPr/>
            </w:pPr>
            <w:r w:rsidDel="00000000" w:rsidR="00000000" w:rsidRPr="00000000">
              <w:rPr>
                <w:rtl w:val="0"/>
              </w:rPr>
              <w:t xml:space="preserve">51.2</w:t>
            </w:r>
          </w:p>
        </w:tc>
      </w:tr>
      <w:tr>
        <w:tc>
          <w:tcPr/>
          <w:p w:rsidR="00000000" w:rsidDel="00000000" w:rsidP="00000000" w:rsidRDefault="00000000" w:rsidRPr="00000000" w14:paraId="0000005F">
            <w:pPr>
              <w:rPr/>
            </w:pPr>
            <w:r w:rsidDel="00000000" w:rsidR="00000000" w:rsidRPr="00000000">
              <w:rPr>
                <w:rtl w:val="0"/>
              </w:rPr>
              <w:t xml:space="preserve">Transfer Graduation in 2.5 Years</w:t>
            </w:r>
          </w:p>
        </w:tc>
        <w:tc>
          <w:tcPr/>
          <w:p w:rsidR="00000000" w:rsidDel="00000000" w:rsidP="00000000" w:rsidRDefault="00000000" w:rsidRPr="00000000" w14:paraId="00000060">
            <w:pPr>
              <w:rPr/>
            </w:pPr>
            <w:r w:rsidDel="00000000" w:rsidR="00000000" w:rsidRPr="00000000">
              <w:rPr>
                <w:rtl w:val="0"/>
              </w:rPr>
              <w:t xml:space="preserve">13</w:t>
            </w:r>
          </w:p>
        </w:tc>
        <w:tc>
          <w:tcPr/>
          <w:p w:rsidR="00000000" w:rsidDel="00000000" w:rsidP="00000000" w:rsidRDefault="00000000" w:rsidRPr="00000000" w14:paraId="00000061">
            <w:pPr>
              <w:rPr/>
            </w:pPr>
            <w:r w:rsidDel="00000000" w:rsidR="00000000" w:rsidRPr="00000000">
              <w:rPr>
                <w:rtl w:val="0"/>
              </w:rPr>
              <w:t xml:space="preserve">66.4</w:t>
            </w:r>
          </w:p>
        </w:tc>
        <w:tc>
          <w:tcPr/>
          <w:p w:rsidR="00000000" w:rsidDel="00000000" w:rsidP="00000000" w:rsidRDefault="00000000" w:rsidRPr="00000000" w14:paraId="00000062">
            <w:pPr>
              <w:rPr/>
            </w:pPr>
            <w:r w:rsidDel="00000000" w:rsidR="00000000" w:rsidRPr="00000000">
              <w:rPr>
                <w:rtl w:val="0"/>
              </w:rPr>
              <w:t xml:space="preserve">34</w:t>
            </w:r>
          </w:p>
        </w:tc>
        <w:tc>
          <w:tcPr/>
          <w:p w:rsidR="00000000" w:rsidDel="00000000" w:rsidP="00000000" w:rsidRDefault="00000000" w:rsidRPr="00000000" w14:paraId="00000063">
            <w:pPr>
              <w:rPr/>
            </w:pPr>
            <w:r w:rsidDel="00000000" w:rsidR="00000000" w:rsidRPr="00000000">
              <w:rPr>
                <w:rtl w:val="0"/>
              </w:rPr>
              <w:t xml:space="preserve">55.03</w:t>
            </w:r>
          </w:p>
        </w:tc>
        <w:tc>
          <w:tcPr/>
          <w:p w:rsidR="00000000" w:rsidDel="00000000" w:rsidP="00000000" w:rsidRDefault="00000000" w:rsidRPr="00000000" w14:paraId="00000064">
            <w:pPr>
              <w:rPr/>
            </w:pPr>
            <w:r w:rsidDel="00000000" w:rsidR="00000000" w:rsidRPr="00000000">
              <w:rPr>
                <w:rtl w:val="0"/>
              </w:rPr>
              <w:t xml:space="preserve">20</w:t>
            </w:r>
          </w:p>
        </w:tc>
        <w:tc>
          <w:tcPr/>
          <w:p w:rsidR="00000000" w:rsidDel="00000000" w:rsidP="00000000" w:rsidRDefault="00000000" w:rsidRPr="00000000" w14:paraId="00000065">
            <w:pPr>
              <w:rPr/>
            </w:pPr>
            <w:r w:rsidDel="00000000" w:rsidR="00000000" w:rsidRPr="00000000">
              <w:rPr>
                <w:rtl w:val="0"/>
              </w:rPr>
              <w:t xml:space="preserve">60.6</w:t>
            </w:r>
          </w:p>
        </w:tc>
        <w:tc>
          <w:tcPr/>
          <w:p w:rsidR="00000000" w:rsidDel="00000000" w:rsidP="00000000" w:rsidRDefault="00000000" w:rsidRPr="00000000" w14:paraId="00000066">
            <w:pPr>
              <w:rPr/>
            </w:pPr>
            <w:r w:rsidDel="00000000" w:rsidR="00000000" w:rsidRPr="00000000">
              <w:rPr>
                <w:rtl w:val="0"/>
              </w:rPr>
              <w:t xml:space="preserve">22</w:t>
            </w:r>
          </w:p>
        </w:tc>
        <w:tc>
          <w:tcPr/>
          <w:p w:rsidR="00000000" w:rsidDel="00000000" w:rsidP="00000000" w:rsidRDefault="00000000" w:rsidRPr="00000000" w14:paraId="00000067">
            <w:pPr>
              <w:rPr/>
            </w:pPr>
            <w:r w:rsidDel="00000000" w:rsidR="00000000" w:rsidRPr="00000000">
              <w:rPr>
                <w:rtl w:val="0"/>
              </w:rPr>
              <w:t xml:space="preserve">51.2</w:t>
            </w:r>
          </w:p>
        </w:tc>
      </w:tr>
    </w:tbl>
    <w:p w:rsidR="00000000" w:rsidDel="00000000" w:rsidP="00000000" w:rsidRDefault="00000000" w:rsidRPr="00000000" w14:paraId="00000068">
      <w:pPr>
        <w:rPr/>
      </w:pPr>
      <w:r w:rsidDel="00000000" w:rsidR="00000000" w:rsidRPr="00000000">
        <w:rPr>
          <w:rtl w:val="0"/>
        </w:rPr>
        <w:t xml:space="preserve">*HUGS Defined as: Black/African American, Hispanic/Latino, and Native American/Alaskan Native</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sectPr>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90699A"/>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CommentReference">
    <w:name w:val="annotation reference"/>
    <w:basedOn w:val="DefaultParagraphFont"/>
    <w:uiPriority w:val="99"/>
    <w:semiHidden w:val="1"/>
    <w:unhideWhenUsed w:val="1"/>
    <w:rsid w:val="0090699A"/>
    <w:rPr>
      <w:sz w:val="16"/>
      <w:szCs w:val="16"/>
    </w:rPr>
  </w:style>
  <w:style w:type="paragraph" w:styleId="CommentText">
    <w:name w:val="annotation text"/>
    <w:basedOn w:val="Normal"/>
    <w:link w:val="CommentTextChar"/>
    <w:uiPriority w:val="99"/>
    <w:semiHidden w:val="1"/>
    <w:unhideWhenUsed w:val="1"/>
    <w:rsid w:val="0090699A"/>
    <w:pPr>
      <w:spacing w:line="240" w:lineRule="auto"/>
    </w:pPr>
    <w:rPr>
      <w:sz w:val="20"/>
      <w:szCs w:val="20"/>
    </w:rPr>
  </w:style>
  <w:style w:type="character" w:styleId="CommentTextChar" w:customStyle="1">
    <w:name w:val="Comment Text Char"/>
    <w:basedOn w:val="DefaultParagraphFont"/>
    <w:link w:val="CommentText"/>
    <w:uiPriority w:val="99"/>
    <w:semiHidden w:val="1"/>
    <w:rsid w:val="0090699A"/>
    <w:rPr>
      <w:sz w:val="20"/>
      <w:szCs w:val="20"/>
    </w:rPr>
  </w:style>
  <w:style w:type="paragraph" w:styleId="BalloonText">
    <w:name w:val="Balloon Text"/>
    <w:basedOn w:val="Normal"/>
    <w:link w:val="BalloonTextChar"/>
    <w:uiPriority w:val="99"/>
    <w:semiHidden w:val="1"/>
    <w:unhideWhenUsed w:val="1"/>
    <w:rsid w:val="0090699A"/>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90699A"/>
    <w:rPr>
      <w:rFonts w:ascii="Segoe UI" w:cs="Segoe UI" w:hAnsi="Segoe UI"/>
      <w:sz w:val="18"/>
      <w:szCs w:val="18"/>
    </w:rPr>
  </w:style>
  <w:style w:type="character" w:styleId="Hyperlink">
    <w:name w:val="Hyperlink"/>
    <w:basedOn w:val="DefaultParagraphFont"/>
    <w:uiPriority w:val="99"/>
    <w:unhideWhenUsed w:val="1"/>
    <w:rsid w:val="00D27EA3"/>
    <w:rPr>
      <w:color w:val="0563c1" w:themeColor="hyperlink"/>
      <w:u w:val="single"/>
    </w:rPr>
  </w:style>
  <w:style w:type="table" w:styleId="TableGrid">
    <w:name w:val="Table Grid"/>
    <w:basedOn w:val="TableNormal"/>
    <w:uiPriority w:val="39"/>
    <w:rsid w:val="005B111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871825"/>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JimS84zYbLEbYCz5SoBIlXebEg==">AMUW2mWdJaDIcf43GlDoLRfAyY77OboLvdHalAyRhCUod+zyD3HSoNnOeCkqkqDgEU9Td1K+3ts9M4j7Le7ABlAFxRa8hic4HhDuiQv6i0J54T/Hmh3kaKtERMdQdaM0GrKQfEPNJnUO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2020-02-03T21:37:00Z</dcterms:created>
  <dc:creator>Linton, Kristen</dc:creator>
</cp:coreProperties>
</file>